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3AFA1" w14:textId="77777777" w:rsidR="00F1219F" w:rsidRPr="00F1219F" w:rsidRDefault="00F1219F" w:rsidP="00F1219F">
      <w:pPr>
        <w:spacing w:line="264" w:lineRule="auto"/>
        <w:jc w:val="center"/>
        <w:rPr>
          <w:rFonts w:ascii="Geomanist" w:hAnsi="Geomanist" w:cs="Times New Roman"/>
          <w:b/>
          <w:sz w:val="22"/>
          <w:szCs w:val="22"/>
        </w:rPr>
      </w:pPr>
      <w:r w:rsidRPr="00F1219F">
        <w:rPr>
          <w:rFonts w:ascii="Geomanist" w:hAnsi="Geomanist" w:cs="Times New Roman"/>
          <w:b/>
          <w:sz w:val="22"/>
          <w:szCs w:val="22"/>
        </w:rPr>
        <w:t>TÉRMINOS Y CONDICIONES</w:t>
      </w:r>
    </w:p>
    <w:p w14:paraId="43A59D83" w14:textId="77777777" w:rsidR="00F1219F" w:rsidRPr="00F1219F" w:rsidRDefault="00F1219F" w:rsidP="00F1219F">
      <w:pPr>
        <w:spacing w:line="264" w:lineRule="auto"/>
        <w:jc w:val="center"/>
        <w:rPr>
          <w:rFonts w:ascii="Geomanist" w:hAnsi="Geomanist" w:cs="Times New Roman"/>
          <w:b/>
          <w:sz w:val="22"/>
          <w:szCs w:val="22"/>
        </w:rPr>
      </w:pPr>
    </w:p>
    <w:p w14:paraId="43988554" w14:textId="15203020" w:rsidR="00F1219F" w:rsidRPr="00F1219F" w:rsidRDefault="00F1219F" w:rsidP="00F1219F">
      <w:pPr>
        <w:spacing w:line="264" w:lineRule="auto"/>
        <w:jc w:val="center"/>
        <w:rPr>
          <w:rFonts w:ascii="Geomanist" w:hAnsi="Geomanist" w:cs="Times New Roman"/>
          <w:b/>
          <w:sz w:val="22"/>
          <w:szCs w:val="22"/>
        </w:rPr>
      </w:pPr>
      <w:r w:rsidRPr="00F1219F">
        <w:rPr>
          <w:rFonts w:ascii="Geomanist" w:hAnsi="Geomanist" w:cs="Times New Roman"/>
          <w:b/>
          <w:sz w:val="22"/>
          <w:szCs w:val="22"/>
        </w:rPr>
        <w:t>PROCESO DE CONTRATACIÓN DE LOS SERVICIOS DE CONSULTORÍA ACTUARIAL Y FINANCIERA</w:t>
      </w:r>
      <w:bookmarkStart w:id="0" w:name="_Hlk110940010"/>
      <w:bookmarkEnd w:id="0"/>
      <w:r w:rsidR="004A15D2">
        <w:rPr>
          <w:rFonts w:ascii="Geomanist" w:hAnsi="Geomanist" w:cs="Times New Roman"/>
          <w:b/>
          <w:sz w:val="22"/>
          <w:szCs w:val="22"/>
        </w:rPr>
        <w:t xml:space="preserve"> CON CORTE AL 31 DE DICIEMBRE DE 2024</w:t>
      </w:r>
    </w:p>
    <w:p w14:paraId="4D3FC015" w14:textId="77777777" w:rsidR="00F1219F" w:rsidRPr="00F1219F" w:rsidRDefault="00F1219F" w:rsidP="00F1219F">
      <w:pPr>
        <w:spacing w:line="264" w:lineRule="auto"/>
        <w:rPr>
          <w:rFonts w:ascii="Geomanist" w:hAnsi="Geomanist" w:cs="Times New Roman"/>
          <w:b/>
          <w:sz w:val="22"/>
          <w:szCs w:val="22"/>
        </w:rPr>
      </w:pPr>
    </w:p>
    <w:p w14:paraId="21B8B3EE" w14:textId="5F53CA0E" w:rsidR="00F1219F" w:rsidRPr="00F1219F" w:rsidRDefault="00F1219F" w:rsidP="00F1219F">
      <w:pPr>
        <w:spacing w:line="264" w:lineRule="auto"/>
        <w:jc w:val="both"/>
        <w:rPr>
          <w:rFonts w:ascii="Geomanist" w:hAnsi="Geomanist"/>
          <w:sz w:val="22"/>
          <w:szCs w:val="22"/>
        </w:rPr>
      </w:pPr>
      <w:r w:rsidRPr="00F1219F">
        <w:rPr>
          <w:rFonts w:ascii="Geomanist" w:hAnsi="Geomanist"/>
          <w:sz w:val="22"/>
          <w:szCs w:val="22"/>
        </w:rPr>
        <w:t xml:space="preserve">Con base en los artículos 3, fracción VIII, 19 y 25, de la Ley de Adquisiciones, Arrendamientos y Servicios del Sector Público (LAASSP); 2, fracción II, de su Reglamento; y en los numerales 4.24 y 4.24.4 de las Políticas, Bases y Lineamientos en materia de Adquisiciones, Arrendamientos y Servicios del Instituto Mexicano del Seguro Social (POBALINES), se establecen </w:t>
      </w:r>
      <w:r w:rsidRPr="00F1219F">
        <w:rPr>
          <w:rFonts w:ascii="Geomanist" w:hAnsi="Geomanist" w:cs="Times New Roman"/>
          <w:sz w:val="22"/>
          <w:szCs w:val="22"/>
        </w:rPr>
        <w:t xml:space="preserve">los Términos y Condiciones para la contratación de los </w:t>
      </w:r>
      <w:r w:rsidRPr="00F1219F">
        <w:rPr>
          <w:rFonts w:ascii="Geomanist" w:hAnsi="Geomanist"/>
          <w:sz w:val="22"/>
          <w:szCs w:val="22"/>
        </w:rPr>
        <w:t>“Servicios de consultoría actuarial y financiera</w:t>
      </w:r>
      <w:r w:rsidR="004A15D2">
        <w:rPr>
          <w:rFonts w:ascii="Geomanist" w:hAnsi="Geomanist"/>
          <w:sz w:val="22"/>
          <w:szCs w:val="22"/>
        </w:rPr>
        <w:t xml:space="preserve"> con corte al 31 de diciembre de 2024</w:t>
      </w:r>
      <w:r w:rsidRPr="00F1219F">
        <w:rPr>
          <w:rFonts w:ascii="Geomanist" w:hAnsi="Geomanist"/>
          <w:sz w:val="22"/>
          <w:szCs w:val="22"/>
        </w:rPr>
        <w:t xml:space="preserve">”. </w:t>
      </w:r>
      <w:bookmarkStart w:id="1" w:name="_Hlk143278074"/>
      <w:r w:rsidRPr="00F1219F">
        <w:rPr>
          <w:rFonts w:ascii="Geomanist" w:hAnsi="Geomanist"/>
          <w:sz w:val="22"/>
          <w:szCs w:val="22"/>
        </w:rPr>
        <w:t>Para el desarrollo de la prestación de los servicios se consideran las partidas que se enlistan a continuación, por lo que se contratará a uno o más despachos conforme a las siguientes partidas:</w:t>
      </w:r>
      <w:bookmarkEnd w:id="1"/>
    </w:p>
    <w:p w14:paraId="45DB842F" w14:textId="77777777" w:rsidR="00F1219F" w:rsidRPr="00F1219F" w:rsidRDefault="00F1219F" w:rsidP="00F1219F">
      <w:pPr>
        <w:spacing w:line="264" w:lineRule="auto"/>
        <w:jc w:val="both"/>
        <w:rPr>
          <w:rFonts w:ascii="Geomanist" w:hAnsi="Geomanist"/>
          <w:sz w:val="22"/>
          <w:szCs w:val="22"/>
        </w:rPr>
      </w:pPr>
    </w:p>
    <w:tbl>
      <w:tblPr>
        <w:tblStyle w:val="Tablaconcuadrcula"/>
        <w:tblW w:w="0" w:type="auto"/>
        <w:tblLook w:val="04A0" w:firstRow="1" w:lastRow="0" w:firstColumn="1" w:lastColumn="0" w:noHBand="0" w:noVBand="1"/>
      </w:tblPr>
      <w:tblGrid>
        <w:gridCol w:w="1316"/>
        <w:gridCol w:w="7512"/>
      </w:tblGrid>
      <w:tr w:rsidR="00F1219F" w:rsidRPr="00F1219F" w14:paraId="6B7058D7" w14:textId="77777777" w:rsidTr="00C74768">
        <w:tc>
          <w:tcPr>
            <w:tcW w:w="1384" w:type="dxa"/>
          </w:tcPr>
          <w:p w14:paraId="116AC6EF" w14:textId="77777777" w:rsidR="00F1219F" w:rsidRPr="00F1219F" w:rsidRDefault="00F1219F" w:rsidP="00C74768">
            <w:pPr>
              <w:spacing w:line="264" w:lineRule="auto"/>
              <w:jc w:val="center"/>
              <w:rPr>
                <w:rFonts w:ascii="Geomanist" w:hAnsi="Geomanist"/>
                <w:b/>
                <w:sz w:val="22"/>
                <w:szCs w:val="22"/>
              </w:rPr>
            </w:pPr>
            <w:r w:rsidRPr="00F1219F">
              <w:rPr>
                <w:rFonts w:ascii="Geomanist" w:hAnsi="Geomanist"/>
                <w:b/>
                <w:sz w:val="22"/>
                <w:szCs w:val="22"/>
              </w:rPr>
              <w:t>Partida</w:t>
            </w:r>
          </w:p>
        </w:tc>
        <w:tc>
          <w:tcPr>
            <w:tcW w:w="8444" w:type="dxa"/>
          </w:tcPr>
          <w:p w14:paraId="485E79B8" w14:textId="77777777" w:rsidR="00F1219F" w:rsidRPr="00F1219F" w:rsidRDefault="00F1219F" w:rsidP="00C74768">
            <w:pPr>
              <w:spacing w:line="264" w:lineRule="auto"/>
              <w:jc w:val="center"/>
              <w:rPr>
                <w:rFonts w:ascii="Geomanist" w:hAnsi="Geomanist"/>
                <w:b/>
                <w:sz w:val="22"/>
                <w:szCs w:val="22"/>
              </w:rPr>
            </w:pPr>
            <w:r w:rsidRPr="00F1219F">
              <w:rPr>
                <w:rFonts w:ascii="Geomanist" w:hAnsi="Geomanist"/>
                <w:b/>
                <w:sz w:val="22"/>
                <w:szCs w:val="22"/>
              </w:rPr>
              <w:t>Denominación</w:t>
            </w:r>
          </w:p>
        </w:tc>
      </w:tr>
      <w:tr w:rsidR="00F1219F" w:rsidRPr="00F1219F" w14:paraId="6DBFE417" w14:textId="77777777" w:rsidTr="00C74768">
        <w:tc>
          <w:tcPr>
            <w:tcW w:w="1384" w:type="dxa"/>
            <w:vAlign w:val="center"/>
          </w:tcPr>
          <w:p w14:paraId="500D1781" w14:textId="77777777" w:rsidR="00F1219F" w:rsidRPr="00F1219F" w:rsidRDefault="00F1219F" w:rsidP="00C74768">
            <w:pPr>
              <w:spacing w:line="264" w:lineRule="auto"/>
              <w:jc w:val="center"/>
              <w:rPr>
                <w:rFonts w:ascii="Geomanist" w:hAnsi="Geomanist"/>
                <w:sz w:val="22"/>
                <w:szCs w:val="22"/>
              </w:rPr>
            </w:pPr>
            <w:r w:rsidRPr="00F1219F">
              <w:rPr>
                <w:rFonts w:ascii="Geomanist" w:hAnsi="Geomanist"/>
                <w:sz w:val="22"/>
                <w:szCs w:val="22"/>
              </w:rPr>
              <w:t>1</w:t>
            </w:r>
          </w:p>
        </w:tc>
        <w:tc>
          <w:tcPr>
            <w:tcW w:w="8444" w:type="dxa"/>
            <w:vAlign w:val="center"/>
          </w:tcPr>
          <w:p w14:paraId="214BA32E" w14:textId="77777777" w:rsidR="00F1219F" w:rsidRPr="00F1219F" w:rsidRDefault="00F1219F" w:rsidP="00C74768">
            <w:pPr>
              <w:spacing w:line="264" w:lineRule="auto"/>
              <w:jc w:val="both"/>
              <w:rPr>
                <w:rFonts w:ascii="Geomanist" w:hAnsi="Geomanist"/>
                <w:sz w:val="22"/>
                <w:szCs w:val="22"/>
              </w:rPr>
            </w:pPr>
            <w:r w:rsidRPr="00F1219F">
              <w:rPr>
                <w:rFonts w:ascii="Geomanist" w:hAnsi="Geomanist" w:cstheme="minorBidi"/>
                <w:sz w:val="22"/>
                <w:szCs w:val="22"/>
              </w:rPr>
              <w:t>Auditoría Anual a la Valuación Financiera y Actuarial del Instituto Mexicano del Seguro Social al 31 de diciembre de 2024.</w:t>
            </w:r>
          </w:p>
        </w:tc>
      </w:tr>
      <w:tr w:rsidR="00F1219F" w:rsidRPr="00F1219F" w14:paraId="7188100D" w14:textId="77777777" w:rsidTr="00C74768">
        <w:tc>
          <w:tcPr>
            <w:tcW w:w="1384" w:type="dxa"/>
            <w:vAlign w:val="center"/>
          </w:tcPr>
          <w:p w14:paraId="759E3206" w14:textId="77777777" w:rsidR="00F1219F" w:rsidRPr="00F1219F" w:rsidRDefault="00F1219F" w:rsidP="00C74768">
            <w:pPr>
              <w:spacing w:line="264" w:lineRule="auto"/>
              <w:jc w:val="center"/>
              <w:rPr>
                <w:rFonts w:ascii="Geomanist" w:hAnsi="Geomanist"/>
                <w:sz w:val="22"/>
                <w:szCs w:val="22"/>
              </w:rPr>
            </w:pPr>
            <w:r w:rsidRPr="00F1219F">
              <w:rPr>
                <w:rFonts w:ascii="Geomanist" w:hAnsi="Geomanist"/>
                <w:sz w:val="22"/>
                <w:szCs w:val="22"/>
              </w:rPr>
              <w:t>2</w:t>
            </w:r>
          </w:p>
        </w:tc>
        <w:tc>
          <w:tcPr>
            <w:tcW w:w="8444" w:type="dxa"/>
            <w:vAlign w:val="center"/>
          </w:tcPr>
          <w:p w14:paraId="50F21121" w14:textId="77777777" w:rsidR="00F1219F" w:rsidRPr="00F1219F" w:rsidRDefault="00F1219F" w:rsidP="00C74768">
            <w:pPr>
              <w:spacing w:line="264" w:lineRule="auto"/>
              <w:jc w:val="both"/>
              <w:rPr>
                <w:rFonts w:ascii="Geomanist" w:hAnsi="Geomanist"/>
                <w:sz w:val="22"/>
                <w:szCs w:val="22"/>
              </w:rPr>
            </w:pPr>
            <w:r w:rsidRPr="00F1219F">
              <w:rPr>
                <w:rFonts w:ascii="Geomanist" w:hAnsi="Geomanist"/>
                <w:sz w:val="22"/>
                <w:szCs w:val="22"/>
              </w:rPr>
              <w:t>Valuación Actuarial del Régimen de Jubilaciones y Pensiones y de la Prima de Antigüedad e Indemnizaciones de los Trabajadores del Instituto Mexicano del Seguro Social al 31 de diciembre de 2024.</w:t>
            </w:r>
          </w:p>
        </w:tc>
      </w:tr>
      <w:tr w:rsidR="00F1219F" w:rsidRPr="00F1219F" w14:paraId="4D5FD699" w14:textId="77777777" w:rsidTr="00C74768">
        <w:tc>
          <w:tcPr>
            <w:tcW w:w="1384" w:type="dxa"/>
            <w:vAlign w:val="center"/>
          </w:tcPr>
          <w:p w14:paraId="0BDCC69A" w14:textId="77777777" w:rsidR="00F1219F" w:rsidRPr="00F1219F" w:rsidRDefault="00F1219F" w:rsidP="00C74768">
            <w:pPr>
              <w:spacing w:line="264" w:lineRule="auto"/>
              <w:jc w:val="center"/>
              <w:rPr>
                <w:rFonts w:ascii="Geomanist" w:hAnsi="Geomanist"/>
                <w:sz w:val="22"/>
                <w:szCs w:val="22"/>
              </w:rPr>
            </w:pPr>
            <w:r w:rsidRPr="00F1219F">
              <w:rPr>
                <w:rFonts w:ascii="Geomanist" w:hAnsi="Geomanist"/>
                <w:sz w:val="22"/>
                <w:szCs w:val="22"/>
              </w:rPr>
              <w:t>3</w:t>
            </w:r>
          </w:p>
        </w:tc>
        <w:tc>
          <w:tcPr>
            <w:tcW w:w="8444" w:type="dxa"/>
            <w:vAlign w:val="center"/>
          </w:tcPr>
          <w:p w14:paraId="2FBBA96F" w14:textId="77777777" w:rsidR="00F1219F" w:rsidRPr="00F1219F" w:rsidRDefault="00F1219F" w:rsidP="00C74768">
            <w:pPr>
              <w:spacing w:line="264" w:lineRule="auto"/>
              <w:jc w:val="both"/>
              <w:rPr>
                <w:rFonts w:ascii="Geomanist" w:hAnsi="Geomanist"/>
                <w:sz w:val="22"/>
                <w:szCs w:val="22"/>
              </w:rPr>
            </w:pPr>
            <w:r w:rsidRPr="00F1219F">
              <w:rPr>
                <w:rFonts w:ascii="Geomanist" w:hAnsi="Geomanist"/>
                <w:sz w:val="22"/>
                <w:szCs w:val="22"/>
              </w:rPr>
              <w:t>Estudio Actuarial para Medir la Suficiencia Financiera de la Subcuenta 2 del Fondo Laboral al 31 de diciembre de 2024.</w:t>
            </w:r>
          </w:p>
        </w:tc>
      </w:tr>
    </w:tbl>
    <w:p w14:paraId="70B88C29" w14:textId="77777777" w:rsidR="00F1219F" w:rsidRPr="00F1219F" w:rsidRDefault="00F1219F" w:rsidP="00F1219F">
      <w:pPr>
        <w:spacing w:line="264" w:lineRule="auto"/>
        <w:jc w:val="both"/>
        <w:rPr>
          <w:rFonts w:ascii="Geomanist" w:hAnsi="Geomanist"/>
          <w:sz w:val="22"/>
          <w:szCs w:val="22"/>
        </w:rPr>
      </w:pPr>
    </w:p>
    <w:p w14:paraId="72E60644" w14:textId="77777777" w:rsidR="00F1219F" w:rsidRPr="00F1219F" w:rsidRDefault="00F1219F" w:rsidP="00F1219F">
      <w:pPr>
        <w:spacing w:line="264" w:lineRule="auto"/>
        <w:jc w:val="both"/>
        <w:rPr>
          <w:rFonts w:ascii="Geomanist" w:hAnsi="Geomanist"/>
          <w:sz w:val="22"/>
          <w:szCs w:val="22"/>
        </w:rPr>
      </w:pPr>
      <w:r w:rsidRPr="00F1219F">
        <w:rPr>
          <w:rFonts w:ascii="Geomanist" w:hAnsi="Geomanist"/>
          <w:sz w:val="22"/>
          <w:szCs w:val="22"/>
        </w:rPr>
        <w:t>Las partidas son independientes, por lo que los licitantes podrán participar en una o más partidas de acuerdo con su especialización y una vez que se adjudiquen las partidas, se formalizará el contrato de prestación de servicios correspondiente.</w:t>
      </w:r>
    </w:p>
    <w:p w14:paraId="7D8B44D4" w14:textId="77777777" w:rsidR="00F1219F" w:rsidRPr="00F1219F" w:rsidRDefault="00F1219F" w:rsidP="00F1219F">
      <w:pPr>
        <w:spacing w:line="264" w:lineRule="auto"/>
        <w:jc w:val="both"/>
        <w:rPr>
          <w:rFonts w:ascii="Geomanist" w:hAnsi="Geomanist"/>
          <w:sz w:val="22"/>
          <w:szCs w:val="22"/>
        </w:rPr>
      </w:pPr>
    </w:p>
    <w:p w14:paraId="62DC6908" w14:textId="77777777" w:rsidR="00F1219F" w:rsidRPr="00F1219F" w:rsidRDefault="00F1219F" w:rsidP="00F1219F">
      <w:pPr>
        <w:spacing w:line="264" w:lineRule="auto"/>
        <w:jc w:val="both"/>
        <w:rPr>
          <w:rFonts w:ascii="Geomanist" w:hAnsi="Geomanist"/>
          <w:b/>
          <w:sz w:val="22"/>
          <w:szCs w:val="22"/>
        </w:rPr>
      </w:pPr>
      <w:r w:rsidRPr="00F1219F">
        <w:rPr>
          <w:rFonts w:ascii="Geomanist" w:hAnsi="Geomanist"/>
          <w:b/>
          <w:sz w:val="22"/>
          <w:szCs w:val="22"/>
        </w:rPr>
        <w:t>Fundamento legal de la contratación</w:t>
      </w:r>
    </w:p>
    <w:p w14:paraId="3CB64707" w14:textId="77777777" w:rsidR="00F1219F" w:rsidRPr="00F1219F" w:rsidRDefault="00F1219F" w:rsidP="00F1219F">
      <w:pPr>
        <w:spacing w:line="264" w:lineRule="auto"/>
        <w:jc w:val="both"/>
        <w:rPr>
          <w:rFonts w:ascii="Geomanist" w:hAnsi="Geomanist"/>
          <w:sz w:val="22"/>
          <w:szCs w:val="22"/>
        </w:rPr>
      </w:pPr>
    </w:p>
    <w:p w14:paraId="37CF9955" w14:textId="7E8A1B2F"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 xml:space="preserve">La contratación de las partidas de los servicios de </w:t>
      </w:r>
      <w:r w:rsidRPr="00F1219F">
        <w:rPr>
          <w:rFonts w:ascii="Geomanist" w:hAnsi="Geomanist"/>
          <w:sz w:val="22"/>
          <w:szCs w:val="22"/>
        </w:rPr>
        <w:t xml:space="preserve">consultoría actuarial y financiera </w:t>
      </w:r>
      <w:r w:rsidR="004A15D2">
        <w:rPr>
          <w:rFonts w:ascii="Geomanist" w:hAnsi="Geomanist"/>
          <w:sz w:val="22"/>
          <w:szCs w:val="22"/>
        </w:rPr>
        <w:t xml:space="preserve">con corte al 31 de diciembre de 2024 </w:t>
      </w:r>
      <w:r w:rsidRPr="00F1219F">
        <w:rPr>
          <w:rFonts w:ascii="Geomanist" w:hAnsi="Geomanist" w:cs="Times New Roman"/>
          <w:sz w:val="22"/>
          <w:szCs w:val="22"/>
        </w:rPr>
        <w:t>se llevará a cabo con fundamento en los artículos 134, de la Constitución Política de los Estados Unidos Mexicanos; 3, fracción VIII, 19 y 25, primer párrafo de la LAASSP.</w:t>
      </w:r>
    </w:p>
    <w:p w14:paraId="323A17CA" w14:textId="77777777" w:rsidR="00F1219F" w:rsidRPr="00F1219F" w:rsidRDefault="00F1219F" w:rsidP="00F1219F">
      <w:pPr>
        <w:spacing w:line="264" w:lineRule="auto"/>
        <w:jc w:val="both"/>
        <w:rPr>
          <w:rFonts w:ascii="Geomanist" w:hAnsi="Geomanist"/>
          <w:sz w:val="22"/>
          <w:szCs w:val="22"/>
        </w:rPr>
      </w:pPr>
    </w:p>
    <w:p w14:paraId="79AF65EA"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La prestación de los servicios de las partidas 1, 2 y 3 será a través de una contratación cerrada.</w:t>
      </w:r>
    </w:p>
    <w:p w14:paraId="58E5B16D" w14:textId="77777777" w:rsidR="00F1219F" w:rsidRPr="00F1219F" w:rsidRDefault="00F1219F" w:rsidP="00F1219F">
      <w:pPr>
        <w:spacing w:line="264" w:lineRule="auto"/>
        <w:jc w:val="both"/>
        <w:rPr>
          <w:rFonts w:ascii="Geomanist" w:hAnsi="Geomanist"/>
          <w:sz w:val="22"/>
          <w:szCs w:val="22"/>
        </w:rPr>
      </w:pPr>
    </w:p>
    <w:p w14:paraId="7ED48054" w14:textId="683E9432" w:rsidR="00F1219F" w:rsidRPr="00F1219F" w:rsidRDefault="00F1219F" w:rsidP="00F1219F">
      <w:pPr>
        <w:suppressAutoHyphens/>
        <w:spacing w:line="276" w:lineRule="auto"/>
        <w:ind w:right="49"/>
        <w:contextualSpacing/>
        <w:jc w:val="both"/>
        <w:rPr>
          <w:rFonts w:ascii="Geomanist" w:eastAsia="Calibri" w:hAnsi="Geomanist" w:cs="Arial"/>
          <w:sz w:val="22"/>
          <w:szCs w:val="22"/>
        </w:rPr>
      </w:pPr>
      <w:r w:rsidRPr="00F1219F">
        <w:rPr>
          <w:rFonts w:ascii="Geomanist" w:eastAsia="Calibri" w:hAnsi="Geomanist" w:cs="Arial"/>
          <w:sz w:val="22"/>
          <w:szCs w:val="22"/>
        </w:rPr>
        <w:t xml:space="preserve">Las disposiciones legales que fundamentan la contratación de los </w:t>
      </w:r>
      <w:r w:rsidRPr="00F1219F">
        <w:rPr>
          <w:rFonts w:ascii="Geomanist" w:hAnsi="Geomanist" w:cs="Times New Roman"/>
          <w:sz w:val="22"/>
          <w:szCs w:val="22"/>
        </w:rPr>
        <w:t xml:space="preserve">servicios de </w:t>
      </w:r>
      <w:r w:rsidRPr="00F1219F">
        <w:rPr>
          <w:rFonts w:ascii="Geomanist" w:hAnsi="Geomanist"/>
          <w:sz w:val="22"/>
          <w:szCs w:val="22"/>
        </w:rPr>
        <w:t xml:space="preserve">consultoría actuarial y financiera </w:t>
      </w:r>
      <w:r w:rsidR="004A15D2">
        <w:rPr>
          <w:rFonts w:ascii="Geomanist" w:hAnsi="Geomanist"/>
          <w:sz w:val="22"/>
          <w:szCs w:val="22"/>
        </w:rPr>
        <w:t xml:space="preserve">con corte al 31 de diciembre de 2024 </w:t>
      </w:r>
      <w:r w:rsidRPr="00F1219F">
        <w:rPr>
          <w:rFonts w:ascii="Geomanist" w:eastAsia="Calibri" w:hAnsi="Geomanist" w:cs="Arial"/>
          <w:sz w:val="22"/>
          <w:szCs w:val="22"/>
        </w:rPr>
        <w:t>son las siguientes:</w:t>
      </w:r>
    </w:p>
    <w:p w14:paraId="394C1FA3" w14:textId="77777777" w:rsidR="00F1219F" w:rsidRPr="00F1219F" w:rsidRDefault="00F1219F" w:rsidP="00F1219F">
      <w:pPr>
        <w:spacing w:line="264" w:lineRule="auto"/>
        <w:jc w:val="both"/>
        <w:rPr>
          <w:rFonts w:ascii="Geomanist" w:hAnsi="Geomanist"/>
          <w:sz w:val="22"/>
          <w:szCs w:val="22"/>
        </w:rPr>
      </w:pPr>
    </w:p>
    <w:p w14:paraId="38667347" w14:textId="77777777" w:rsidR="00F1219F" w:rsidRPr="00F1219F" w:rsidRDefault="00F1219F" w:rsidP="00F1219F">
      <w:pPr>
        <w:pStyle w:val="Prrafodelista"/>
        <w:numPr>
          <w:ilvl w:val="0"/>
          <w:numId w:val="50"/>
        </w:numPr>
        <w:spacing w:line="276" w:lineRule="auto"/>
        <w:jc w:val="both"/>
        <w:rPr>
          <w:rFonts w:ascii="Geomanist" w:eastAsia="MS Mincho" w:hAnsi="Geomanist"/>
        </w:rPr>
      </w:pPr>
      <w:r w:rsidRPr="00F1219F">
        <w:rPr>
          <w:rFonts w:ascii="Geomanist" w:eastAsia="MS Mincho" w:hAnsi="Geomanist"/>
        </w:rPr>
        <w:lastRenderedPageBreak/>
        <w:t>Artículos 262 primer párrafo, 273 y 277 D párrafo 4 y 286 k de la Ley del Seguro Social (LSS), publicada en el Diario Oficial de la Federación el 21 de diciembre de 1995 y sus reformas.</w:t>
      </w:r>
    </w:p>
    <w:p w14:paraId="4D613413" w14:textId="77777777" w:rsidR="00F1219F" w:rsidRPr="00F1219F" w:rsidRDefault="00F1219F" w:rsidP="00F1219F">
      <w:pPr>
        <w:pStyle w:val="Prrafodelista"/>
        <w:numPr>
          <w:ilvl w:val="0"/>
          <w:numId w:val="50"/>
        </w:numPr>
        <w:spacing w:line="276" w:lineRule="auto"/>
        <w:jc w:val="both"/>
        <w:rPr>
          <w:rFonts w:ascii="Geomanist" w:eastAsia="MS Mincho" w:hAnsi="Geomanist"/>
        </w:rPr>
      </w:pPr>
      <w:r w:rsidRPr="00F1219F">
        <w:rPr>
          <w:rFonts w:ascii="Geomanist" w:eastAsia="MS Mincho" w:hAnsi="Geomanist"/>
        </w:rPr>
        <w:t>Artículo 70, fracción VIII del Reglamento Interior del Instituto Mexicano del Seguro Social, publicado en el Diario Oficial de la Federación el 18 de septiembre de 2006 y sus reformas.</w:t>
      </w:r>
    </w:p>
    <w:p w14:paraId="2517891B" w14:textId="77777777" w:rsidR="00F1219F" w:rsidRPr="00F1219F" w:rsidRDefault="00F1219F" w:rsidP="00F1219F">
      <w:pPr>
        <w:spacing w:line="264" w:lineRule="auto"/>
        <w:jc w:val="both"/>
        <w:rPr>
          <w:rFonts w:ascii="Geomanist" w:hAnsi="Geomanist"/>
          <w:sz w:val="22"/>
          <w:szCs w:val="22"/>
        </w:rPr>
      </w:pPr>
    </w:p>
    <w:p w14:paraId="12F3A03C" w14:textId="77777777" w:rsidR="00F1219F" w:rsidRPr="00F1219F" w:rsidRDefault="00F1219F" w:rsidP="00F1219F">
      <w:pPr>
        <w:pStyle w:val="Ttulo1"/>
        <w:spacing w:before="0"/>
        <w:ind w:left="437" w:hanging="437"/>
        <w:rPr>
          <w:rFonts w:ascii="Geomanist" w:hAnsi="Geomanist"/>
          <w:b/>
          <w:bCs/>
          <w:color w:val="000000" w:themeColor="text1"/>
          <w:sz w:val="22"/>
          <w:szCs w:val="22"/>
        </w:rPr>
      </w:pPr>
      <w:r w:rsidRPr="00F1219F">
        <w:rPr>
          <w:rFonts w:ascii="Geomanist" w:hAnsi="Geomanist"/>
          <w:b/>
          <w:bCs/>
          <w:color w:val="000000" w:themeColor="text1"/>
          <w:sz w:val="22"/>
          <w:szCs w:val="22"/>
        </w:rPr>
        <w:t>VIGENCIA DE LA CONTRATACIÓN</w:t>
      </w:r>
    </w:p>
    <w:p w14:paraId="2756E5F4" w14:textId="77777777" w:rsidR="00F1219F" w:rsidRPr="00F1219F" w:rsidRDefault="00F1219F" w:rsidP="00F1219F">
      <w:pPr>
        <w:pStyle w:val="Prrafodelista"/>
        <w:spacing w:after="0" w:line="264" w:lineRule="auto"/>
        <w:ind w:left="0"/>
        <w:jc w:val="both"/>
        <w:rPr>
          <w:rFonts w:ascii="Geomanist" w:hAnsi="Geomanist" w:cs="Times New Roman"/>
          <w:lang w:val="es-ES"/>
        </w:rPr>
      </w:pPr>
    </w:p>
    <w:p w14:paraId="3AFE1299" w14:textId="23C7FFC2" w:rsidR="009D595F" w:rsidRDefault="00F1219F" w:rsidP="00F1219F">
      <w:pPr>
        <w:tabs>
          <w:tab w:val="left" w:pos="284"/>
        </w:tabs>
        <w:suppressAutoHyphens/>
        <w:spacing w:line="276" w:lineRule="auto"/>
        <w:jc w:val="both"/>
        <w:rPr>
          <w:rFonts w:ascii="Geomanist" w:hAnsi="Geomanist"/>
          <w:sz w:val="22"/>
          <w:szCs w:val="22"/>
        </w:rPr>
      </w:pPr>
      <w:r w:rsidRPr="00F1219F">
        <w:rPr>
          <w:rFonts w:ascii="Geomanist" w:hAnsi="Geomanist" w:cs="Times New Roman"/>
          <w:sz w:val="22"/>
          <w:szCs w:val="22"/>
        </w:rPr>
        <w:t xml:space="preserve">La vigencia de las tres partidas adjudicadas será a partir del </w:t>
      </w:r>
      <w:r w:rsidR="003302D7" w:rsidRPr="00845B04">
        <w:rPr>
          <w:rFonts w:ascii="Geomanist" w:hAnsi="Geomanist" w:cs="Times New Roman"/>
          <w:sz w:val="22"/>
          <w:szCs w:val="22"/>
        </w:rPr>
        <w:t>día hábil siguiente a la notificación del fallo y hasta e</w:t>
      </w:r>
      <w:bookmarkStart w:id="2" w:name="_Hlk181614552"/>
      <w:r w:rsidR="009D595F">
        <w:rPr>
          <w:rFonts w:ascii="Geomanist" w:hAnsi="Geomanist"/>
          <w:sz w:val="22"/>
          <w:szCs w:val="22"/>
        </w:rPr>
        <w:t>l 31 de diciembre de 2025</w:t>
      </w:r>
      <w:bookmarkEnd w:id="2"/>
      <w:r w:rsidR="009D595F">
        <w:rPr>
          <w:rFonts w:ascii="Geomanist" w:hAnsi="Geomanist"/>
          <w:sz w:val="22"/>
          <w:szCs w:val="22"/>
        </w:rPr>
        <w:t>.</w:t>
      </w:r>
    </w:p>
    <w:p w14:paraId="10B06465" w14:textId="77777777" w:rsidR="009D595F" w:rsidRDefault="009D595F" w:rsidP="00F1219F">
      <w:pPr>
        <w:tabs>
          <w:tab w:val="left" w:pos="284"/>
        </w:tabs>
        <w:suppressAutoHyphens/>
        <w:spacing w:line="276" w:lineRule="auto"/>
        <w:jc w:val="both"/>
        <w:rPr>
          <w:rFonts w:ascii="Geomanist" w:hAnsi="Geomanist"/>
          <w:sz w:val="22"/>
          <w:szCs w:val="22"/>
        </w:rPr>
      </w:pPr>
    </w:p>
    <w:p w14:paraId="58D98C0E" w14:textId="65873B0B" w:rsidR="009D595F" w:rsidRPr="00F1219F" w:rsidRDefault="00F1219F" w:rsidP="00F1219F">
      <w:pPr>
        <w:tabs>
          <w:tab w:val="left" w:pos="284"/>
        </w:tabs>
        <w:suppressAutoHyphens/>
        <w:spacing w:line="276" w:lineRule="auto"/>
        <w:jc w:val="both"/>
        <w:rPr>
          <w:rFonts w:ascii="Geomanist" w:hAnsi="Geomanist"/>
          <w:sz w:val="22"/>
          <w:szCs w:val="22"/>
        </w:rPr>
      </w:pPr>
      <w:r w:rsidRPr="00F1219F">
        <w:rPr>
          <w:rFonts w:ascii="Geomanist" w:hAnsi="Geomanist"/>
          <w:sz w:val="22"/>
          <w:szCs w:val="22"/>
        </w:rPr>
        <w:t>De conformidad con el artículo 39 fracción II inciso f) del Reglamento de la LAASSP, la contratación de las tres partidas será por la cantidad determinada en el procedimiento de licitación.</w:t>
      </w:r>
    </w:p>
    <w:p w14:paraId="2D9084B1" w14:textId="77777777" w:rsidR="00F1219F" w:rsidRPr="00F1219F" w:rsidRDefault="00F1219F" w:rsidP="00F1219F">
      <w:pPr>
        <w:spacing w:line="264" w:lineRule="auto"/>
        <w:jc w:val="both"/>
        <w:rPr>
          <w:rFonts w:ascii="Geomanist" w:hAnsi="Geomanist" w:cs="Times New Roman"/>
          <w:sz w:val="22"/>
          <w:szCs w:val="22"/>
        </w:rPr>
      </w:pPr>
    </w:p>
    <w:p w14:paraId="1C3F3CFD" w14:textId="77777777" w:rsidR="00F1219F" w:rsidRPr="00F1219F" w:rsidRDefault="00F1219F" w:rsidP="00F1219F">
      <w:pPr>
        <w:pStyle w:val="Ttulo1"/>
        <w:spacing w:before="0"/>
        <w:ind w:left="437" w:hanging="437"/>
        <w:rPr>
          <w:rFonts w:ascii="Geomanist" w:hAnsi="Geomanist"/>
          <w:b/>
          <w:bCs/>
          <w:color w:val="000000" w:themeColor="text1"/>
          <w:sz w:val="22"/>
          <w:szCs w:val="22"/>
        </w:rPr>
      </w:pPr>
      <w:r w:rsidRPr="00F1219F">
        <w:rPr>
          <w:rFonts w:ascii="Geomanist" w:hAnsi="Geomanist"/>
          <w:b/>
          <w:bCs/>
          <w:color w:val="000000" w:themeColor="text1"/>
          <w:sz w:val="22"/>
          <w:szCs w:val="22"/>
        </w:rPr>
        <w:t>PLAZO DE ENTREGA DEL SERVICIO</w:t>
      </w:r>
    </w:p>
    <w:p w14:paraId="411382B6" w14:textId="77777777" w:rsidR="00F1219F" w:rsidRPr="00F1219F" w:rsidRDefault="00F1219F" w:rsidP="00F1219F">
      <w:pPr>
        <w:spacing w:line="264" w:lineRule="auto"/>
        <w:jc w:val="both"/>
        <w:rPr>
          <w:rFonts w:ascii="Geomanist" w:hAnsi="Geomanist" w:cs="Times New Roman"/>
        </w:rPr>
      </w:pPr>
    </w:p>
    <w:p w14:paraId="248A60ED" w14:textId="438CCE31" w:rsidR="00F1219F" w:rsidRDefault="00F1219F" w:rsidP="00F1219F">
      <w:pPr>
        <w:pStyle w:val="Prrafodelista"/>
        <w:spacing w:after="0" w:line="264" w:lineRule="auto"/>
        <w:ind w:left="0"/>
        <w:jc w:val="both"/>
        <w:rPr>
          <w:rFonts w:ascii="Geomanist" w:hAnsi="Geomanist" w:cs="Times New Roman"/>
          <w:lang w:val="es-ES"/>
        </w:rPr>
      </w:pPr>
      <w:r w:rsidRPr="00F1219F">
        <w:rPr>
          <w:rFonts w:ascii="Geomanist" w:hAnsi="Geomanist" w:cs="Times New Roman"/>
          <w:lang w:val="es-ES"/>
        </w:rPr>
        <w:t>El tiempo de ejecución de los estudios de cada partida será conforme a lo establecido en el Apéndice 1 (UNO) del Anexo Técnico que se incluye en el Anexo Número 1 (UNO) de la convocatoria.</w:t>
      </w:r>
    </w:p>
    <w:p w14:paraId="2272F896" w14:textId="171E7841" w:rsidR="00BE07EA" w:rsidRDefault="00BE07EA" w:rsidP="00F1219F">
      <w:pPr>
        <w:pStyle w:val="Prrafodelista"/>
        <w:spacing w:after="0" w:line="264" w:lineRule="auto"/>
        <w:ind w:left="0"/>
        <w:jc w:val="both"/>
        <w:rPr>
          <w:rFonts w:ascii="Geomanist" w:hAnsi="Geomanist" w:cs="Times New Roman"/>
          <w:lang w:val="es-ES"/>
        </w:rPr>
      </w:pPr>
    </w:p>
    <w:p w14:paraId="643CF5BD" w14:textId="77777777" w:rsidR="003302D7" w:rsidRPr="00F1219F" w:rsidRDefault="003302D7" w:rsidP="003302D7">
      <w:pPr>
        <w:pStyle w:val="Prrafodelista"/>
        <w:spacing w:after="0" w:line="264" w:lineRule="auto"/>
        <w:ind w:left="0"/>
        <w:jc w:val="both"/>
        <w:rPr>
          <w:rFonts w:ascii="Geomanist" w:hAnsi="Geomanist" w:cs="Times New Roman"/>
          <w:lang w:val="es-ES"/>
        </w:rPr>
      </w:pPr>
      <w:r>
        <w:rPr>
          <w:rFonts w:ascii="Geomanist" w:hAnsi="Geomanist" w:cs="Times New Roman"/>
          <w:lang w:val="es-ES"/>
        </w:rPr>
        <w:t>Por su parte las asesorías técnicas que eventualmente se requieran, podrán realizarse hasta el 31 de diciembre de 2025.</w:t>
      </w:r>
    </w:p>
    <w:p w14:paraId="78921A35" w14:textId="77777777" w:rsidR="003302D7" w:rsidRDefault="003302D7" w:rsidP="00F1219F">
      <w:pPr>
        <w:pStyle w:val="Prrafodelista"/>
        <w:spacing w:after="0" w:line="264" w:lineRule="auto"/>
        <w:ind w:left="0"/>
        <w:jc w:val="both"/>
        <w:rPr>
          <w:rFonts w:ascii="Geomanist" w:hAnsi="Geomanist" w:cs="Times New Roman"/>
          <w:lang w:val="es-ES"/>
        </w:rPr>
      </w:pPr>
    </w:p>
    <w:p w14:paraId="213E8712" w14:textId="77777777" w:rsidR="00F1219F" w:rsidRPr="00F1219F" w:rsidRDefault="00F1219F" w:rsidP="00F1219F">
      <w:pPr>
        <w:pStyle w:val="Ttulo1"/>
        <w:spacing w:before="0"/>
        <w:ind w:left="437" w:hanging="437"/>
        <w:rPr>
          <w:rFonts w:ascii="Geomanist" w:hAnsi="Geomanist"/>
          <w:b/>
          <w:bCs/>
          <w:color w:val="000000" w:themeColor="text1"/>
          <w:sz w:val="22"/>
          <w:szCs w:val="22"/>
        </w:rPr>
      </w:pPr>
      <w:r w:rsidRPr="00F1219F">
        <w:rPr>
          <w:rFonts w:ascii="Geomanist" w:hAnsi="Geomanist"/>
          <w:b/>
          <w:bCs/>
          <w:color w:val="000000" w:themeColor="text1"/>
          <w:sz w:val="22"/>
          <w:szCs w:val="22"/>
        </w:rPr>
        <w:t>CRITERIO DE EVALUACIÓN DE PROPOSICIONES</w:t>
      </w:r>
    </w:p>
    <w:p w14:paraId="76D08864" w14:textId="77777777" w:rsidR="00F1219F" w:rsidRPr="00F1219F" w:rsidRDefault="00F1219F" w:rsidP="00F1219F">
      <w:pPr>
        <w:pStyle w:val="Prrafodelista"/>
        <w:tabs>
          <w:tab w:val="left" w:pos="2027"/>
        </w:tabs>
        <w:spacing w:after="0" w:line="264" w:lineRule="auto"/>
        <w:ind w:left="0"/>
        <w:rPr>
          <w:rFonts w:ascii="Geomanist" w:hAnsi="Geomanist" w:cs="Times New Roman"/>
          <w:lang w:val="es-ES"/>
        </w:rPr>
      </w:pPr>
    </w:p>
    <w:p w14:paraId="390D4FC7"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En apego a lo dispuesto en los artículos 36, párrafo tercero y 36 Bis, fracción I de la LAASSP, la evaluación de las proposiciones para cada partida se realizará utilizando el criterio de puntos y porcentajes, considerando los requisitos y condiciones que se establecen en el Anexo Técnico que se incluye en el Anexo Número 1 (UNO) de la convocatoria.</w:t>
      </w:r>
    </w:p>
    <w:p w14:paraId="4EBA4B0D" w14:textId="77777777" w:rsidR="00F1219F" w:rsidRPr="00F1219F" w:rsidRDefault="00F1219F" w:rsidP="00F1219F">
      <w:pPr>
        <w:spacing w:line="264" w:lineRule="auto"/>
        <w:jc w:val="both"/>
        <w:rPr>
          <w:rFonts w:ascii="Geomanist" w:hAnsi="Geomanist" w:cs="Times New Roman"/>
          <w:sz w:val="22"/>
          <w:szCs w:val="22"/>
        </w:rPr>
      </w:pPr>
    </w:p>
    <w:p w14:paraId="5BDE0FAE" w14:textId="7CE2234C"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Para efectos de la evaluación por puntos se considera para la propuesta técnica un máximo de 80 puntos y para la propuesta económica un máximo de 20 puntos</w:t>
      </w:r>
      <w:r w:rsidR="003302D7">
        <w:rPr>
          <w:rStyle w:val="Refdenotaalpie"/>
          <w:rFonts w:ascii="Geomanist" w:hAnsi="Geomanist" w:cs="Times New Roman"/>
          <w:sz w:val="22"/>
          <w:szCs w:val="22"/>
        </w:rPr>
        <w:footnoteReference w:id="1"/>
      </w:r>
      <w:r w:rsidRPr="00F1219F">
        <w:rPr>
          <w:rFonts w:ascii="Geomanist" w:hAnsi="Geomanist" w:cs="Times New Roman"/>
          <w:sz w:val="22"/>
          <w:szCs w:val="22"/>
        </w:rPr>
        <w:t xml:space="preserve">, de conformidad con </w:t>
      </w:r>
      <w:r w:rsidRPr="00F1219F">
        <w:rPr>
          <w:rFonts w:ascii="Geomanist" w:hAnsi="Geomanist" w:cs="Times New Roman"/>
          <w:sz w:val="22"/>
          <w:szCs w:val="22"/>
        </w:rPr>
        <w:lastRenderedPageBreak/>
        <w:t>lo establecido en el Lineamiento Décimo Primero, inciso B, de los Lineamientos en Materia de Adquisiciones, Arrendamientos y Servicios y de Obras Públicas y Servicios relacionados con las mismas.</w:t>
      </w:r>
    </w:p>
    <w:p w14:paraId="710C7DDE" w14:textId="77777777" w:rsidR="00F1219F" w:rsidRPr="00F1219F" w:rsidRDefault="00F1219F" w:rsidP="00F1219F">
      <w:pPr>
        <w:spacing w:line="264" w:lineRule="auto"/>
        <w:jc w:val="both"/>
        <w:rPr>
          <w:rFonts w:ascii="Geomanist" w:hAnsi="Geomanist" w:cs="Times New Roman"/>
          <w:sz w:val="22"/>
          <w:szCs w:val="22"/>
        </w:rPr>
      </w:pPr>
    </w:p>
    <w:p w14:paraId="0745B0ED" w14:textId="77777777" w:rsidR="00F1219F" w:rsidRPr="00F1219F" w:rsidRDefault="00F1219F" w:rsidP="00F1219F">
      <w:pPr>
        <w:spacing w:line="264" w:lineRule="auto"/>
        <w:jc w:val="both"/>
        <w:rPr>
          <w:rFonts w:ascii="Geomanist" w:hAnsi="Geomanist" w:cs="Times New Roman"/>
          <w:bCs/>
          <w:sz w:val="22"/>
          <w:szCs w:val="22"/>
        </w:rPr>
      </w:pPr>
      <w:r w:rsidRPr="00F1219F">
        <w:rPr>
          <w:rFonts w:ascii="Geomanist" w:hAnsi="Geomanist" w:cs="Times New Roman"/>
          <w:bCs/>
          <w:sz w:val="22"/>
          <w:szCs w:val="22"/>
        </w:rPr>
        <w:t>La metodología para llevar a cabo la evaluación de las propuestas que presenten los licitantes considerando el mecanismo de puntos y porcentajes, será conforme a lo que se describe a continuación:</w:t>
      </w:r>
    </w:p>
    <w:p w14:paraId="17A13091" w14:textId="77777777" w:rsidR="00F1219F" w:rsidRPr="00F1219F" w:rsidRDefault="00F1219F" w:rsidP="00F1219F">
      <w:pPr>
        <w:spacing w:line="264" w:lineRule="auto"/>
        <w:jc w:val="both"/>
        <w:rPr>
          <w:rFonts w:ascii="Geomanist" w:hAnsi="Geomanist" w:cs="Times New Roman"/>
          <w:bCs/>
          <w:sz w:val="22"/>
          <w:szCs w:val="22"/>
        </w:rPr>
      </w:pPr>
    </w:p>
    <w:p w14:paraId="1DD0F48F" w14:textId="77777777" w:rsidR="00F1219F" w:rsidRPr="00F1219F" w:rsidRDefault="00F1219F" w:rsidP="00F1219F">
      <w:pPr>
        <w:pStyle w:val="Ttulo2"/>
        <w:rPr>
          <w:rFonts w:ascii="Geomanist" w:hAnsi="Geomanist"/>
          <w:color w:val="000000" w:themeColor="text1"/>
          <w:sz w:val="22"/>
          <w:szCs w:val="22"/>
        </w:rPr>
      </w:pPr>
      <w:r w:rsidRPr="00F1219F">
        <w:rPr>
          <w:rFonts w:ascii="Geomanist" w:hAnsi="Geomanist"/>
          <w:color w:val="000000" w:themeColor="text1"/>
          <w:sz w:val="22"/>
          <w:szCs w:val="22"/>
        </w:rPr>
        <w:t>Evaluación técnica</w:t>
      </w:r>
    </w:p>
    <w:p w14:paraId="7442C92B" w14:textId="77777777" w:rsidR="00F1219F" w:rsidRPr="00F1219F" w:rsidRDefault="00F1219F" w:rsidP="00F1219F">
      <w:pPr>
        <w:spacing w:line="264" w:lineRule="auto"/>
        <w:jc w:val="both"/>
        <w:rPr>
          <w:rFonts w:ascii="Geomanist" w:hAnsi="Geomanist" w:cs="Times New Roman"/>
          <w:sz w:val="22"/>
          <w:szCs w:val="22"/>
        </w:rPr>
      </w:pPr>
    </w:p>
    <w:p w14:paraId="412C71CE"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Para llevar a cabo la evaluación de las Propuestas Técnicas de cada partida presentadas por los licitantes, se procederá a revisar el cumplimiento de los requerimientos técnicos de conformidad con lo previsto en el Anexo Técnico que se incluye en el Anexo Número 1 (UNO) de la convocatoria.</w:t>
      </w:r>
    </w:p>
    <w:p w14:paraId="6116B6FD" w14:textId="77777777" w:rsidR="00F1219F" w:rsidRPr="00F1219F" w:rsidRDefault="00F1219F" w:rsidP="00F1219F">
      <w:pPr>
        <w:spacing w:line="264" w:lineRule="auto"/>
        <w:jc w:val="both"/>
        <w:rPr>
          <w:rFonts w:ascii="Geomanist" w:hAnsi="Geomanist" w:cs="Times New Roman"/>
          <w:sz w:val="22"/>
          <w:szCs w:val="22"/>
        </w:rPr>
      </w:pPr>
    </w:p>
    <w:p w14:paraId="3F76E8DE"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Para las propuestas técnicas que cumplan con los requerimientos técnicos especificados para cada partida, se procederá a realizar la asignación de los 80 puntos correspondientes, considerando para tal efecto la acreditación documental que, en su caso, haya realizado el licitante para los rubros y subrubros que integran la evaluación, con base en los parámetros dispuestos.</w:t>
      </w:r>
    </w:p>
    <w:p w14:paraId="4FD06823" w14:textId="77777777" w:rsidR="00F1219F" w:rsidRPr="00F1219F" w:rsidRDefault="00F1219F" w:rsidP="00F1219F">
      <w:pPr>
        <w:spacing w:line="264" w:lineRule="auto"/>
        <w:jc w:val="both"/>
        <w:rPr>
          <w:rFonts w:ascii="Geomanist" w:hAnsi="Geomanist" w:cs="Times New Roman"/>
          <w:sz w:val="22"/>
          <w:szCs w:val="22"/>
        </w:rPr>
      </w:pPr>
    </w:p>
    <w:p w14:paraId="0937D83E"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Sólo se asignará la puntuación correspondiente a cada rubro y subrubro conforme a los parámetros que el licitante acredite en cada uno de ellos. La puntuación de la propuesta técnica de cada licitante se realizará conforme a lo establecido en la evaluación técnica.</w:t>
      </w:r>
    </w:p>
    <w:p w14:paraId="3E6F679D" w14:textId="77777777" w:rsidR="00F1219F" w:rsidRPr="00F1219F" w:rsidRDefault="00F1219F" w:rsidP="00F1219F">
      <w:pPr>
        <w:spacing w:line="264" w:lineRule="auto"/>
        <w:jc w:val="both"/>
        <w:rPr>
          <w:rFonts w:ascii="Geomanist" w:hAnsi="Geomanist" w:cs="Times New Roman"/>
          <w:sz w:val="22"/>
          <w:szCs w:val="22"/>
        </w:rPr>
      </w:pPr>
    </w:p>
    <w:p w14:paraId="52E6C880"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Con base en la puntación que corresponda a la propuesta técnica de cada licitante, se determinará si resulta solvente y, por tanto, no será desechada; se verificará que la puntuación a obtener sea de cuando menos 60 (SESENTA) de los 80 (OCHENTA) máximos que se pueden obtener en la evaluación, es decir, cuando menos el 75% de la puntuación máxima señalada previamente.</w:t>
      </w:r>
    </w:p>
    <w:p w14:paraId="7AA6C7DD" w14:textId="77777777" w:rsidR="00F1219F" w:rsidRPr="00F1219F" w:rsidRDefault="00F1219F" w:rsidP="00F1219F">
      <w:pPr>
        <w:spacing w:line="264" w:lineRule="auto"/>
        <w:jc w:val="both"/>
        <w:rPr>
          <w:rFonts w:ascii="Geomanist" w:hAnsi="Geomanist" w:cs="Times New Roman"/>
          <w:sz w:val="22"/>
          <w:szCs w:val="22"/>
        </w:rPr>
      </w:pPr>
    </w:p>
    <w:p w14:paraId="6B4E62AB"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La evaluación de las propuestas será conforme a lo siguiente:</w:t>
      </w:r>
    </w:p>
    <w:p w14:paraId="392C1DDA" w14:textId="77777777" w:rsidR="00F1219F" w:rsidRPr="00F1219F" w:rsidRDefault="00F1219F" w:rsidP="00F1219F">
      <w:pPr>
        <w:spacing w:line="264" w:lineRule="auto"/>
        <w:jc w:val="both"/>
        <w:rPr>
          <w:rFonts w:ascii="Geomanist" w:hAnsi="Geomanist" w:cs="Times New Roman"/>
          <w:sz w:val="22"/>
          <w:szCs w:val="22"/>
        </w:rPr>
      </w:pPr>
    </w:p>
    <w:tbl>
      <w:tblPr>
        <w:tblW w:w="0" w:type="auto"/>
        <w:tblInd w:w="55" w:type="dxa"/>
        <w:tblCellMar>
          <w:left w:w="70" w:type="dxa"/>
          <w:right w:w="70" w:type="dxa"/>
        </w:tblCellMar>
        <w:tblLook w:val="04A0" w:firstRow="1" w:lastRow="0" w:firstColumn="1" w:lastColumn="0" w:noHBand="0" w:noVBand="1"/>
      </w:tblPr>
      <w:tblGrid>
        <w:gridCol w:w="5853"/>
        <w:gridCol w:w="1879"/>
        <w:gridCol w:w="1051"/>
      </w:tblGrid>
      <w:tr w:rsidR="00F1219F" w:rsidRPr="00F1219F" w14:paraId="0159B130" w14:textId="77777777" w:rsidTr="00C74768">
        <w:trPr>
          <w:trHeight w:val="113"/>
          <w:tblHeader/>
        </w:trPr>
        <w:tc>
          <w:tcPr>
            <w:tcW w:w="6491" w:type="dxa"/>
            <w:tcBorders>
              <w:top w:val="single" w:sz="12" w:space="0" w:color="auto"/>
              <w:left w:val="nil"/>
              <w:bottom w:val="single" w:sz="12" w:space="0" w:color="auto"/>
              <w:right w:val="nil"/>
            </w:tcBorders>
            <w:shd w:val="clear" w:color="auto" w:fill="5B9BD5" w:themeFill="accent5"/>
            <w:vAlign w:val="center"/>
            <w:hideMark/>
          </w:tcPr>
          <w:p w14:paraId="6C82050A" w14:textId="77777777" w:rsidR="00F1219F" w:rsidRPr="00F1219F" w:rsidRDefault="00F1219F" w:rsidP="00C74768">
            <w:pPr>
              <w:rPr>
                <w:rFonts w:ascii="Geomanist" w:hAnsi="Geomanist" w:cs="Times New Roman"/>
                <w:b/>
                <w:bCs/>
                <w:sz w:val="17"/>
                <w:szCs w:val="17"/>
              </w:rPr>
            </w:pPr>
            <w:r w:rsidRPr="00F1219F">
              <w:rPr>
                <w:rFonts w:ascii="Geomanist" w:hAnsi="Geomanist"/>
                <w:b/>
                <w:bCs/>
                <w:sz w:val="17"/>
                <w:szCs w:val="17"/>
              </w:rPr>
              <w:t>Concepto</w:t>
            </w:r>
          </w:p>
        </w:tc>
        <w:tc>
          <w:tcPr>
            <w:tcW w:w="2073" w:type="dxa"/>
            <w:tcBorders>
              <w:top w:val="single" w:sz="12" w:space="0" w:color="auto"/>
              <w:left w:val="nil"/>
              <w:bottom w:val="single" w:sz="12" w:space="0" w:color="auto"/>
              <w:right w:val="nil"/>
            </w:tcBorders>
            <w:shd w:val="clear" w:color="auto" w:fill="5B9BD5" w:themeFill="accent5"/>
            <w:vAlign w:val="center"/>
            <w:hideMark/>
          </w:tcPr>
          <w:p w14:paraId="53085076" w14:textId="77777777" w:rsidR="00F1219F" w:rsidRPr="00F1219F" w:rsidRDefault="00F1219F" w:rsidP="00C74768">
            <w:pPr>
              <w:jc w:val="center"/>
              <w:rPr>
                <w:rFonts w:ascii="Geomanist" w:hAnsi="Geomanist"/>
                <w:b/>
                <w:bCs/>
                <w:sz w:val="17"/>
                <w:szCs w:val="17"/>
              </w:rPr>
            </w:pPr>
            <w:r w:rsidRPr="00F1219F">
              <w:rPr>
                <w:rFonts w:ascii="Geomanist" w:hAnsi="Geomanist"/>
                <w:b/>
                <w:bCs/>
                <w:sz w:val="17"/>
                <w:szCs w:val="17"/>
              </w:rPr>
              <w:t>Distribución del</w:t>
            </w:r>
            <w:r w:rsidRPr="00F1219F">
              <w:rPr>
                <w:rFonts w:ascii="Geomanist" w:hAnsi="Geomanist"/>
                <w:b/>
                <w:bCs/>
                <w:sz w:val="17"/>
                <w:szCs w:val="17"/>
              </w:rPr>
              <w:br/>
              <w:t>total de puntos</w:t>
            </w:r>
          </w:p>
        </w:tc>
        <w:tc>
          <w:tcPr>
            <w:tcW w:w="1153" w:type="dxa"/>
            <w:tcBorders>
              <w:top w:val="single" w:sz="12" w:space="0" w:color="auto"/>
              <w:left w:val="nil"/>
              <w:bottom w:val="single" w:sz="12" w:space="0" w:color="auto"/>
              <w:right w:val="nil"/>
            </w:tcBorders>
            <w:shd w:val="clear" w:color="auto" w:fill="5B9BD5" w:themeFill="accent5"/>
            <w:vAlign w:val="center"/>
            <w:hideMark/>
          </w:tcPr>
          <w:p w14:paraId="01039437" w14:textId="77777777" w:rsidR="00F1219F" w:rsidRPr="00F1219F" w:rsidRDefault="00F1219F" w:rsidP="00C74768">
            <w:pPr>
              <w:rPr>
                <w:rFonts w:ascii="Geomanist" w:hAnsi="Geomanist"/>
                <w:b/>
                <w:bCs/>
                <w:sz w:val="17"/>
                <w:szCs w:val="17"/>
              </w:rPr>
            </w:pPr>
            <w:r w:rsidRPr="00F1219F">
              <w:rPr>
                <w:rFonts w:ascii="Geomanist" w:hAnsi="Geomanist"/>
                <w:b/>
                <w:bCs/>
                <w:sz w:val="17"/>
                <w:szCs w:val="17"/>
              </w:rPr>
              <w:t>Puntos</w:t>
            </w:r>
          </w:p>
        </w:tc>
      </w:tr>
      <w:tr w:rsidR="00F1219F" w:rsidRPr="00F1219F" w14:paraId="55AB080A" w14:textId="77777777" w:rsidTr="00C74768">
        <w:trPr>
          <w:trHeight w:val="113"/>
        </w:trPr>
        <w:tc>
          <w:tcPr>
            <w:tcW w:w="6491" w:type="dxa"/>
            <w:tcBorders>
              <w:top w:val="nil"/>
              <w:left w:val="nil"/>
              <w:bottom w:val="single" w:sz="8" w:space="0" w:color="auto"/>
              <w:right w:val="nil"/>
            </w:tcBorders>
            <w:vAlign w:val="center"/>
            <w:hideMark/>
          </w:tcPr>
          <w:p w14:paraId="68EF428C" w14:textId="77777777" w:rsidR="00F1219F" w:rsidRPr="00F1219F" w:rsidRDefault="00F1219F" w:rsidP="00C74768">
            <w:pPr>
              <w:spacing w:line="276" w:lineRule="auto"/>
              <w:rPr>
                <w:rFonts w:ascii="Geomanist" w:hAnsi="Geomanist"/>
                <w:b/>
                <w:bCs/>
                <w:sz w:val="17"/>
                <w:szCs w:val="17"/>
              </w:rPr>
            </w:pPr>
            <w:r w:rsidRPr="00F1219F">
              <w:rPr>
                <w:rFonts w:ascii="Geomanist" w:hAnsi="Geomanist"/>
                <w:b/>
                <w:bCs/>
                <w:sz w:val="17"/>
                <w:szCs w:val="17"/>
              </w:rPr>
              <w:t>Rubro A. Capacidad del Licitante</w:t>
            </w:r>
          </w:p>
        </w:tc>
        <w:tc>
          <w:tcPr>
            <w:tcW w:w="2073" w:type="dxa"/>
            <w:tcBorders>
              <w:top w:val="nil"/>
              <w:left w:val="nil"/>
              <w:bottom w:val="single" w:sz="8" w:space="0" w:color="auto"/>
              <w:right w:val="nil"/>
            </w:tcBorders>
            <w:noWrap/>
            <w:vAlign w:val="center"/>
            <w:hideMark/>
          </w:tcPr>
          <w:p w14:paraId="3DD8DE78" w14:textId="77777777" w:rsidR="00F1219F" w:rsidRPr="00F1219F" w:rsidRDefault="00F1219F" w:rsidP="00C74768">
            <w:pPr>
              <w:spacing w:line="276" w:lineRule="auto"/>
              <w:jc w:val="center"/>
              <w:rPr>
                <w:rFonts w:ascii="Geomanist" w:hAnsi="Geomanist"/>
                <w:b/>
                <w:bCs/>
                <w:sz w:val="17"/>
                <w:szCs w:val="17"/>
              </w:rPr>
            </w:pPr>
            <w:r w:rsidRPr="00F1219F">
              <w:rPr>
                <w:rFonts w:ascii="Geomanist" w:hAnsi="Geomanist" w:cs="Arial"/>
                <w:b/>
                <w:bCs/>
                <w:sz w:val="17"/>
                <w:szCs w:val="17"/>
              </w:rPr>
              <w:t>45.00%</w:t>
            </w:r>
          </w:p>
        </w:tc>
        <w:tc>
          <w:tcPr>
            <w:tcW w:w="1153" w:type="dxa"/>
            <w:tcBorders>
              <w:top w:val="nil"/>
              <w:left w:val="nil"/>
              <w:bottom w:val="single" w:sz="8" w:space="0" w:color="auto"/>
              <w:right w:val="nil"/>
            </w:tcBorders>
            <w:noWrap/>
            <w:vAlign w:val="center"/>
            <w:hideMark/>
          </w:tcPr>
          <w:p w14:paraId="43DB7883" w14:textId="77777777" w:rsidR="00F1219F" w:rsidRPr="00F1219F" w:rsidRDefault="00F1219F" w:rsidP="00C74768">
            <w:pPr>
              <w:spacing w:line="276" w:lineRule="auto"/>
              <w:jc w:val="center"/>
              <w:rPr>
                <w:rFonts w:ascii="Geomanist" w:hAnsi="Geomanist"/>
                <w:b/>
                <w:bCs/>
                <w:sz w:val="17"/>
                <w:szCs w:val="17"/>
              </w:rPr>
            </w:pPr>
            <w:r w:rsidRPr="00F1219F">
              <w:rPr>
                <w:rFonts w:ascii="Geomanist" w:hAnsi="Geomanist" w:cs="Calibri"/>
                <w:b/>
                <w:bCs/>
                <w:sz w:val="17"/>
                <w:szCs w:val="17"/>
              </w:rPr>
              <w:t>36.00</w:t>
            </w:r>
          </w:p>
        </w:tc>
      </w:tr>
      <w:tr w:rsidR="00F1219F" w:rsidRPr="00F1219F" w14:paraId="6B108D6A" w14:textId="77777777" w:rsidTr="00C74768">
        <w:trPr>
          <w:trHeight w:val="113"/>
        </w:trPr>
        <w:tc>
          <w:tcPr>
            <w:tcW w:w="6491" w:type="dxa"/>
            <w:tcBorders>
              <w:top w:val="nil"/>
              <w:left w:val="nil"/>
              <w:bottom w:val="single" w:sz="8" w:space="0" w:color="auto"/>
              <w:right w:val="nil"/>
            </w:tcBorders>
            <w:shd w:val="clear" w:color="auto" w:fill="DAEEF3"/>
            <w:vAlign w:val="center"/>
            <w:hideMark/>
          </w:tcPr>
          <w:p w14:paraId="1D60484B" w14:textId="77777777" w:rsidR="00F1219F" w:rsidRPr="00F1219F" w:rsidRDefault="00F1219F" w:rsidP="00C74768">
            <w:pPr>
              <w:spacing w:line="276" w:lineRule="auto"/>
              <w:rPr>
                <w:rFonts w:ascii="Geomanist" w:hAnsi="Geomanist"/>
                <w:b/>
                <w:bCs/>
                <w:i/>
                <w:iCs/>
                <w:sz w:val="17"/>
                <w:szCs w:val="17"/>
              </w:rPr>
            </w:pPr>
            <w:r w:rsidRPr="00F1219F">
              <w:rPr>
                <w:rFonts w:ascii="Geomanist" w:hAnsi="Geomanist"/>
                <w:b/>
                <w:bCs/>
                <w:i/>
                <w:iCs/>
                <w:sz w:val="17"/>
                <w:szCs w:val="17"/>
              </w:rPr>
              <w:t>A.1 Capacidad de los Recursos Humanos</w:t>
            </w:r>
          </w:p>
        </w:tc>
        <w:tc>
          <w:tcPr>
            <w:tcW w:w="2073" w:type="dxa"/>
            <w:tcBorders>
              <w:top w:val="nil"/>
              <w:left w:val="nil"/>
              <w:bottom w:val="single" w:sz="8" w:space="0" w:color="auto"/>
              <w:right w:val="nil"/>
            </w:tcBorders>
            <w:shd w:val="clear" w:color="auto" w:fill="DAEEF3"/>
            <w:noWrap/>
            <w:vAlign w:val="center"/>
            <w:hideMark/>
          </w:tcPr>
          <w:p w14:paraId="11C224DD" w14:textId="77777777" w:rsidR="00F1219F" w:rsidRPr="00F1219F" w:rsidRDefault="00F1219F" w:rsidP="00C74768">
            <w:pPr>
              <w:spacing w:line="276" w:lineRule="auto"/>
              <w:jc w:val="center"/>
              <w:rPr>
                <w:rFonts w:ascii="Geomanist" w:hAnsi="Geomanist"/>
                <w:b/>
                <w:bCs/>
                <w:i/>
                <w:iCs/>
                <w:sz w:val="17"/>
                <w:szCs w:val="17"/>
              </w:rPr>
            </w:pPr>
            <w:r w:rsidRPr="00F1219F">
              <w:rPr>
                <w:rFonts w:ascii="Geomanist" w:hAnsi="Geomanist" w:cs="Arial"/>
                <w:b/>
                <w:bCs/>
                <w:i/>
                <w:iCs/>
                <w:sz w:val="17"/>
                <w:szCs w:val="17"/>
              </w:rPr>
              <w:t>78.50%</w:t>
            </w:r>
          </w:p>
        </w:tc>
        <w:tc>
          <w:tcPr>
            <w:tcW w:w="1153" w:type="dxa"/>
            <w:tcBorders>
              <w:top w:val="nil"/>
              <w:left w:val="nil"/>
              <w:bottom w:val="single" w:sz="8" w:space="0" w:color="auto"/>
              <w:right w:val="nil"/>
            </w:tcBorders>
            <w:shd w:val="clear" w:color="auto" w:fill="DAEEF3"/>
            <w:noWrap/>
            <w:vAlign w:val="center"/>
            <w:hideMark/>
          </w:tcPr>
          <w:p w14:paraId="600CEDED" w14:textId="77777777" w:rsidR="00F1219F" w:rsidRPr="00F1219F" w:rsidRDefault="00F1219F" w:rsidP="00C74768">
            <w:pPr>
              <w:spacing w:line="276" w:lineRule="auto"/>
              <w:jc w:val="center"/>
              <w:rPr>
                <w:rFonts w:ascii="Geomanist" w:hAnsi="Geomanist"/>
                <w:b/>
                <w:bCs/>
                <w:i/>
                <w:iCs/>
                <w:sz w:val="17"/>
                <w:szCs w:val="17"/>
              </w:rPr>
            </w:pPr>
            <w:r w:rsidRPr="00F1219F">
              <w:rPr>
                <w:rFonts w:ascii="Geomanist" w:hAnsi="Geomanist" w:cs="Calibri"/>
                <w:b/>
                <w:bCs/>
                <w:i/>
                <w:iCs/>
                <w:sz w:val="17"/>
                <w:szCs w:val="17"/>
              </w:rPr>
              <w:t>28.26</w:t>
            </w:r>
          </w:p>
        </w:tc>
      </w:tr>
      <w:tr w:rsidR="00F1219F" w:rsidRPr="00F1219F" w14:paraId="1FAC0EFD" w14:textId="77777777" w:rsidTr="00C74768">
        <w:trPr>
          <w:trHeight w:val="113"/>
        </w:trPr>
        <w:tc>
          <w:tcPr>
            <w:tcW w:w="6491" w:type="dxa"/>
            <w:tcBorders>
              <w:top w:val="nil"/>
              <w:left w:val="nil"/>
              <w:bottom w:val="single" w:sz="8" w:space="0" w:color="auto"/>
              <w:right w:val="nil"/>
            </w:tcBorders>
            <w:vAlign w:val="center"/>
            <w:hideMark/>
          </w:tcPr>
          <w:p w14:paraId="750E000F" w14:textId="77777777" w:rsidR="00F1219F" w:rsidRPr="00F1219F" w:rsidRDefault="00F1219F" w:rsidP="00F1219F">
            <w:pPr>
              <w:numPr>
                <w:ilvl w:val="0"/>
                <w:numId w:val="46"/>
              </w:numPr>
              <w:spacing w:line="276" w:lineRule="auto"/>
              <w:ind w:left="566" w:hanging="308"/>
              <w:rPr>
                <w:rFonts w:ascii="Geomanist" w:hAnsi="Geomanist"/>
                <w:sz w:val="17"/>
                <w:szCs w:val="17"/>
              </w:rPr>
            </w:pPr>
            <w:r w:rsidRPr="00F1219F">
              <w:rPr>
                <w:rFonts w:ascii="Geomanist" w:hAnsi="Geomanist"/>
                <w:sz w:val="17"/>
                <w:szCs w:val="17"/>
              </w:rPr>
              <w:t>Experiencia de los recursos humanos en asuntos relacionados con el servicio</w:t>
            </w:r>
          </w:p>
        </w:tc>
        <w:tc>
          <w:tcPr>
            <w:tcW w:w="2073" w:type="dxa"/>
            <w:tcBorders>
              <w:top w:val="nil"/>
              <w:left w:val="nil"/>
              <w:bottom w:val="single" w:sz="8" w:space="0" w:color="auto"/>
              <w:right w:val="nil"/>
            </w:tcBorders>
            <w:noWrap/>
            <w:vAlign w:val="center"/>
            <w:hideMark/>
          </w:tcPr>
          <w:p w14:paraId="352536A9"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sz w:val="17"/>
                <w:szCs w:val="17"/>
              </w:rPr>
              <w:t>40.00%</w:t>
            </w:r>
          </w:p>
        </w:tc>
        <w:tc>
          <w:tcPr>
            <w:tcW w:w="1153" w:type="dxa"/>
            <w:tcBorders>
              <w:top w:val="nil"/>
              <w:left w:val="nil"/>
              <w:bottom w:val="single" w:sz="8" w:space="0" w:color="auto"/>
              <w:right w:val="nil"/>
            </w:tcBorders>
            <w:noWrap/>
            <w:vAlign w:val="center"/>
            <w:hideMark/>
          </w:tcPr>
          <w:p w14:paraId="6FAECAEE"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Calibri"/>
                <w:color w:val="000000"/>
                <w:sz w:val="17"/>
                <w:szCs w:val="17"/>
              </w:rPr>
              <w:t>11.30</w:t>
            </w:r>
          </w:p>
        </w:tc>
      </w:tr>
      <w:tr w:rsidR="00F1219F" w:rsidRPr="00F1219F" w14:paraId="6335C054" w14:textId="77777777" w:rsidTr="00C74768">
        <w:trPr>
          <w:trHeight w:val="113"/>
        </w:trPr>
        <w:tc>
          <w:tcPr>
            <w:tcW w:w="6491" w:type="dxa"/>
            <w:tcBorders>
              <w:top w:val="nil"/>
              <w:left w:val="nil"/>
              <w:bottom w:val="single" w:sz="8" w:space="0" w:color="auto"/>
              <w:right w:val="nil"/>
            </w:tcBorders>
            <w:vAlign w:val="center"/>
            <w:hideMark/>
          </w:tcPr>
          <w:p w14:paraId="26C7C393" w14:textId="77777777" w:rsidR="00F1219F" w:rsidRPr="00F1219F" w:rsidRDefault="00F1219F" w:rsidP="00F1219F">
            <w:pPr>
              <w:numPr>
                <w:ilvl w:val="0"/>
                <w:numId w:val="46"/>
              </w:numPr>
              <w:spacing w:line="276" w:lineRule="auto"/>
              <w:ind w:left="566" w:hanging="308"/>
              <w:rPr>
                <w:rFonts w:ascii="Geomanist" w:hAnsi="Geomanist"/>
                <w:sz w:val="17"/>
                <w:szCs w:val="17"/>
              </w:rPr>
            </w:pPr>
            <w:r w:rsidRPr="00F1219F">
              <w:rPr>
                <w:rFonts w:ascii="Geomanist" w:hAnsi="Geomanist"/>
                <w:sz w:val="17"/>
                <w:szCs w:val="17"/>
              </w:rPr>
              <w:t>Conocimientos sobre estudios relacionados con el proyecto a licitar.</w:t>
            </w:r>
          </w:p>
        </w:tc>
        <w:tc>
          <w:tcPr>
            <w:tcW w:w="2073" w:type="dxa"/>
            <w:tcBorders>
              <w:top w:val="nil"/>
              <w:left w:val="nil"/>
              <w:bottom w:val="single" w:sz="8" w:space="0" w:color="auto"/>
              <w:right w:val="nil"/>
            </w:tcBorders>
            <w:noWrap/>
            <w:vAlign w:val="center"/>
            <w:hideMark/>
          </w:tcPr>
          <w:p w14:paraId="58A692B3"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sz w:val="17"/>
                <w:szCs w:val="17"/>
              </w:rPr>
              <w:t>50.00%</w:t>
            </w:r>
          </w:p>
        </w:tc>
        <w:tc>
          <w:tcPr>
            <w:tcW w:w="1153" w:type="dxa"/>
            <w:tcBorders>
              <w:top w:val="nil"/>
              <w:left w:val="nil"/>
              <w:bottom w:val="single" w:sz="8" w:space="0" w:color="auto"/>
              <w:right w:val="nil"/>
            </w:tcBorders>
            <w:noWrap/>
            <w:vAlign w:val="center"/>
            <w:hideMark/>
          </w:tcPr>
          <w:p w14:paraId="0956D4FE"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Calibri"/>
                <w:color w:val="000000"/>
                <w:sz w:val="17"/>
                <w:szCs w:val="17"/>
              </w:rPr>
              <w:t>14.13</w:t>
            </w:r>
          </w:p>
        </w:tc>
      </w:tr>
      <w:tr w:rsidR="00F1219F" w:rsidRPr="00F1219F" w14:paraId="0A6758EC" w14:textId="77777777" w:rsidTr="00C74768">
        <w:trPr>
          <w:trHeight w:val="113"/>
        </w:trPr>
        <w:tc>
          <w:tcPr>
            <w:tcW w:w="6491" w:type="dxa"/>
            <w:tcBorders>
              <w:top w:val="nil"/>
              <w:left w:val="nil"/>
              <w:bottom w:val="single" w:sz="8" w:space="0" w:color="auto"/>
              <w:right w:val="nil"/>
            </w:tcBorders>
            <w:vAlign w:val="center"/>
            <w:hideMark/>
          </w:tcPr>
          <w:p w14:paraId="20204F3A" w14:textId="77777777" w:rsidR="00F1219F" w:rsidRPr="00F1219F" w:rsidRDefault="00F1219F" w:rsidP="00F1219F">
            <w:pPr>
              <w:numPr>
                <w:ilvl w:val="0"/>
                <w:numId w:val="46"/>
              </w:numPr>
              <w:spacing w:line="276" w:lineRule="auto"/>
              <w:ind w:left="566" w:hanging="308"/>
              <w:rPr>
                <w:rFonts w:ascii="Geomanist" w:hAnsi="Geomanist"/>
                <w:sz w:val="17"/>
                <w:szCs w:val="17"/>
              </w:rPr>
            </w:pPr>
            <w:r w:rsidRPr="00F1219F">
              <w:rPr>
                <w:rFonts w:ascii="Geomanist" w:hAnsi="Geomanist"/>
                <w:sz w:val="17"/>
                <w:szCs w:val="17"/>
              </w:rPr>
              <w:t>Dominio de aptitudes</w:t>
            </w:r>
          </w:p>
        </w:tc>
        <w:tc>
          <w:tcPr>
            <w:tcW w:w="2073" w:type="dxa"/>
            <w:tcBorders>
              <w:top w:val="nil"/>
              <w:left w:val="nil"/>
              <w:bottom w:val="single" w:sz="8" w:space="0" w:color="auto"/>
              <w:right w:val="nil"/>
            </w:tcBorders>
            <w:noWrap/>
            <w:vAlign w:val="center"/>
            <w:hideMark/>
          </w:tcPr>
          <w:p w14:paraId="128C2F74"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sz w:val="17"/>
                <w:szCs w:val="17"/>
              </w:rPr>
              <w:t>10.00%</w:t>
            </w:r>
          </w:p>
        </w:tc>
        <w:tc>
          <w:tcPr>
            <w:tcW w:w="1153" w:type="dxa"/>
            <w:tcBorders>
              <w:top w:val="nil"/>
              <w:left w:val="nil"/>
              <w:bottom w:val="single" w:sz="8" w:space="0" w:color="auto"/>
              <w:right w:val="nil"/>
            </w:tcBorders>
            <w:noWrap/>
            <w:vAlign w:val="center"/>
            <w:hideMark/>
          </w:tcPr>
          <w:p w14:paraId="27051E47"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Calibri"/>
                <w:color w:val="000000"/>
                <w:sz w:val="17"/>
                <w:szCs w:val="17"/>
              </w:rPr>
              <w:t>2.83</w:t>
            </w:r>
          </w:p>
        </w:tc>
      </w:tr>
      <w:tr w:rsidR="00F1219F" w:rsidRPr="00F1219F" w14:paraId="793A8630" w14:textId="77777777" w:rsidTr="00C74768">
        <w:trPr>
          <w:trHeight w:val="113"/>
        </w:trPr>
        <w:tc>
          <w:tcPr>
            <w:tcW w:w="6491" w:type="dxa"/>
            <w:tcBorders>
              <w:top w:val="nil"/>
              <w:left w:val="nil"/>
              <w:bottom w:val="single" w:sz="8" w:space="0" w:color="auto"/>
              <w:right w:val="nil"/>
            </w:tcBorders>
            <w:shd w:val="clear" w:color="auto" w:fill="DAEEF3"/>
            <w:vAlign w:val="center"/>
            <w:hideMark/>
          </w:tcPr>
          <w:p w14:paraId="39CB0205" w14:textId="77777777" w:rsidR="00F1219F" w:rsidRPr="00F1219F" w:rsidRDefault="00F1219F" w:rsidP="00C74768">
            <w:pPr>
              <w:spacing w:line="276" w:lineRule="auto"/>
              <w:rPr>
                <w:rFonts w:ascii="Geomanist" w:hAnsi="Geomanist"/>
                <w:b/>
                <w:bCs/>
                <w:i/>
                <w:iCs/>
                <w:sz w:val="17"/>
                <w:szCs w:val="17"/>
              </w:rPr>
            </w:pPr>
            <w:r w:rsidRPr="00F1219F">
              <w:rPr>
                <w:rFonts w:ascii="Geomanist" w:hAnsi="Geomanist"/>
                <w:b/>
                <w:bCs/>
                <w:i/>
                <w:iCs/>
                <w:sz w:val="17"/>
                <w:szCs w:val="17"/>
              </w:rPr>
              <w:lastRenderedPageBreak/>
              <w:t>A.2 Capacidad de los Recursos Económicos y de Equipamiento</w:t>
            </w:r>
          </w:p>
        </w:tc>
        <w:tc>
          <w:tcPr>
            <w:tcW w:w="2073" w:type="dxa"/>
            <w:tcBorders>
              <w:top w:val="nil"/>
              <w:left w:val="nil"/>
              <w:bottom w:val="single" w:sz="8" w:space="0" w:color="auto"/>
              <w:right w:val="nil"/>
            </w:tcBorders>
            <w:shd w:val="clear" w:color="auto" w:fill="DAEEF3"/>
            <w:noWrap/>
            <w:vAlign w:val="center"/>
            <w:hideMark/>
          </w:tcPr>
          <w:p w14:paraId="3C193AB4" w14:textId="77777777" w:rsidR="00F1219F" w:rsidRPr="00F1219F" w:rsidRDefault="00F1219F" w:rsidP="00C74768">
            <w:pPr>
              <w:spacing w:line="276" w:lineRule="auto"/>
              <w:jc w:val="center"/>
              <w:rPr>
                <w:rFonts w:ascii="Geomanist" w:hAnsi="Geomanist"/>
                <w:b/>
                <w:bCs/>
                <w:i/>
                <w:iCs/>
                <w:sz w:val="17"/>
                <w:szCs w:val="17"/>
              </w:rPr>
            </w:pPr>
            <w:r w:rsidRPr="00F1219F">
              <w:rPr>
                <w:rFonts w:ascii="Geomanist" w:hAnsi="Geomanist" w:cs="Arial"/>
                <w:b/>
                <w:bCs/>
                <w:i/>
                <w:iCs/>
                <w:sz w:val="17"/>
                <w:szCs w:val="17"/>
              </w:rPr>
              <w:t>20.00%</w:t>
            </w:r>
          </w:p>
        </w:tc>
        <w:tc>
          <w:tcPr>
            <w:tcW w:w="1153" w:type="dxa"/>
            <w:tcBorders>
              <w:top w:val="nil"/>
              <w:left w:val="nil"/>
              <w:bottom w:val="single" w:sz="8" w:space="0" w:color="auto"/>
              <w:right w:val="nil"/>
            </w:tcBorders>
            <w:shd w:val="clear" w:color="auto" w:fill="DAEEF3"/>
            <w:noWrap/>
            <w:vAlign w:val="center"/>
            <w:hideMark/>
          </w:tcPr>
          <w:p w14:paraId="2EEDF0C5" w14:textId="77777777" w:rsidR="00F1219F" w:rsidRPr="00F1219F" w:rsidRDefault="00F1219F" w:rsidP="00C74768">
            <w:pPr>
              <w:spacing w:line="276" w:lineRule="auto"/>
              <w:jc w:val="center"/>
              <w:rPr>
                <w:rFonts w:ascii="Geomanist" w:hAnsi="Geomanist"/>
                <w:b/>
                <w:bCs/>
                <w:i/>
                <w:iCs/>
                <w:sz w:val="17"/>
                <w:szCs w:val="17"/>
              </w:rPr>
            </w:pPr>
            <w:r w:rsidRPr="00F1219F">
              <w:rPr>
                <w:rFonts w:ascii="Geomanist" w:hAnsi="Geomanist" w:cs="Calibri"/>
                <w:b/>
                <w:bCs/>
                <w:color w:val="000000"/>
                <w:sz w:val="17"/>
                <w:szCs w:val="17"/>
              </w:rPr>
              <w:t>7.20</w:t>
            </w:r>
          </w:p>
        </w:tc>
      </w:tr>
      <w:tr w:rsidR="00F1219F" w:rsidRPr="00F1219F" w14:paraId="48D52A1C" w14:textId="77777777" w:rsidTr="00C74768">
        <w:trPr>
          <w:trHeight w:val="113"/>
        </w:trPr>
        <w:tc>
          <w:tcPr>
            <w:tcW w:w="6491" w:type="dxa"/>
            <w:tcBorders>
              <w:top w:val="nil"/>
              <w:left w:val="nil"/>
              <w:bottom w:val="single" w:sz="8" w:space="0" w:color="auto"/>
              <w:right w:val="nil"/>
            </w:tcBorders>
            <w:vAlign w:val="center"/>
            <w:hideMark/>
          </w:tcPr>
          <w:p w14:paraId="553ACA5C" w14:textId="77777777" w:rsidR="00F1219F" w:rsidRPr="00F1219F" w:rsidRDefault="00F1219F" w:rsidP="00F1219F">
            <w:pPr>
              <w:numPr>
                <w:ilvl w:val="0"/>
                <w:numId w:val="47"/>
              </w:numPr>
              <w:spacing w:line="276" w:lineRule="auto"/>
              <w:ind w:left="608" w:hanging="364"/>
              <w:rPr>
                <w:rFonts w:ascii="Geomanist" w:hAnsi="Geomanist"/>
                <w:sz w:val="17"/>
                <w:szCs w:val="17"/>
              </w:rPr>
            </w:pPr>
            <w:r w:rsidRPr="00F1219F">
              <w:rPr>
                <w:rFonts w:ascii="Geomanist" w:hAnsi="Geomanist"/>
                <w:sz w:val="17"/>
                <w:szCs w:val="17"/>
              </w:rPr>
              <w:t>Capacidad de los recursos económicos</w:t>
            </w:r>
          </w:p>
        </w:tc>
        <w:tc>
          <w:tcPr>
            <w:tcW w:w="2073" w:type="dxa"/>
            <w:tcBorders>
              <w:top w:val="nil"/>
              <w:left w:val="nil"/>
              <w:bottom w:val="single" w:sz="8" w:space="0" w:color="auto"/>
              <w:right w:val="nil"/>
            </w:tcBorders>
            <w:noWrap/>
            <w:vAlign w:val="center"/>
            <w:hideMark/>
          </w:tcPr>
          <w:p w14:paraId="4B720D0E"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Arial"/>
                <w:sz w:val="17"/>
                <w:szCs w:val="17"/>
              </w:rPr>
              <w:t>30.00%</w:t>
            </w:r>
          </w:p>
        </w:tc>
        <w:tc>
          <w:tcPr>
            <w:tcW w:w="1153" w:type="dxa"/>
            <w:tcBorders>
              <w:top w:val="nil"/>
              <w:left w:val="nil"/>
              <w:bottom w:val="single" w:sz="8" w:space="0" w:color="auto"/>
              <w:right w:val="nil"/>
            </w:tcBorders>
            <w:noWrap/>
            <w:vAlign w:val="center"/>
            <w:hideMark/>
          </w:tcPr>
          <w:p w14:paraId="716B9F8F"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Calibri"/>
                <w:color w:val="000000"/>
                <w:sz w:val="17"/>
                <w:szCs w:val="17"/>
              </w:rPr>
              <w:t>2.16</w:t>
            </w:r>
          </w:p>
        </w:tc>
      </w:tr>
      <w:tr w:rsidR="00F1219F" w:rsidRPr="00F1219F" w14:paraId="51C55C0E" w14:textId="77777777" w:rsidTr="00C74768">
        <w:trPr>
          <w:trHeight w:val="113"/>
        </w:trPr>
        <w:tc>
          <w:tcPr>
            <w:tcW w:w="6491" w:type="dxa"/>
            <w:tcBorders>
              <w:top w:val="nil"/>
              <w:left w:val="nil"/>
              <w:bottom w:val="single" w:sz="8" w:space="0" w:color="auto"/>
              <w:right w:val="nil"/>
            </w:tcBorders>
            <w:vAlign w:val="center"/>
            <w:hideMark/>
          </w:tcPr>
          <w:p w14:paraId="34BD4313" w14:textId="77777777" w:rsidR="00F1219F" w:rsidRPr="00F1219F" w:rsidRDefault="00F1219F" w:rsidP="00F1219F">
            <w:pPr>
              <w:numPr>
                <w:ilvl w:val="0"/>
                <w:numId w:val="47"/>
              </w:numPr>
              <w:spacing w:line="276" w:lineRule="auto"/>
              <w:ind w:left="608" w:hanging="364"/>
              <w:rPr>
                <w:rFonts w:ascii="Geomanist" w:hAnsi="Geomanist"/>
                <w:sz w:val="17"/>
                <w:szCs w:val="17"/>
              </w:rPr>
            </w:pPr>
            <w:r w:rsidRPr="00F1219F">
              <w:rPr>
                <w:rFonts w:ascii="Geomanist" w:hAnsi="Geomanist"/>
                <w:sz w:val="17"/>
                <w:szCs w:val="17"/>
              </w:rPr>
              <w:t>Capacidad de los recursos de equipamiento</w:t>
            </w:r>
          </w:p>
        </w:tc>
        <w:tc>
          <w:tcPr>
            <w:tcW w:w="2073" w:type="dxa"/>
            <w:tcBorders>
              <w:top w:val="nil"/>
              <w:left w:val="nil"/>
              <w:bottom w:val="single" w:sz="8" w:space="0" w:color="auto"/>
              <w:right w:val="nil"/>
            </w:tcBorders>
            <w:noWrap/>
            <w:vAlign w:val="center"/>
            <w:hideMark/>
          </w:tcPr>
          <w:p w14:paraId="5BC2EDA4"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Arial"/>
                <w:sz w:val="17"/>
                <w:szCs w:val="17"/>
              </w:rPr>
              <w:t>70.00%</w:t>
            </w:r>
          </w:p>
        </w:tc>
        <w:tc>
          <w:tcPr>
            <w:tcW w:w="1153" w:type="dxa"/>
            <w:tcBorders>
              <w:top w:val="nil"/>
              <w:left w:val="nil"/>
              <w:bottom w:val="single" w:sz="8" w:space="0" w:color="auto"/>
              <w:right w:val="nil"/>
            </w:tcBorders>
            <w:noWrap/>
            <w:vAlign w:val="center"/>
            <w:hideMark/>
          </w:tcPr>
          <w:p w14:paraId="6023A031"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Calibri"/>
                <w:i/>
                <w:iCs/>
                <w:color w:val="000000"/>
                <w:sz w:val="17"/>
                <w:szCs w:val="17"/>
              </w:rPr>
              <w:t>5.04</w:t>
            </w:r>
          </w:p>
        </w:tc>
      </w:tr>
      <w:tr w:rsidR="00F1219F" w:rsidRPr="00F1219F" w14:paraId="4619E1E1" w14:textId="77777777" w:rsidTr="00C74768">
        <w:trPr>
          <w:trHeight w:val="113"/>
        </w:trPr>
        <w:tc>
          <w:tcPr>
            <w:tcW w:w="6491" w:type="dxa"/>
            <w:tcBorders>
              <w:top w:val="nil"/>
              <w:left w:val="nil"/>
              <w:bottom w:val="single" w:sz="8" w:space="0" w:color="auto"/>
              <w:right w:val="nil"/>
            </w:tcBorders>
            <w:shd w:val="clear" w:color="auto" w:fill="DAEEF3"/>
            <w:vAlign w:val="center"/>
            <w:hideMark/>
          </w:tcPr>
          <w:p w14:paraId="1B696047" w14:textId="77777777" w:rsidR="00F1219F" w:rsidRPr="00F1219F" w:rsidRDefault="00F1219F" w:rsidP="00C74768">
            <w:pPr>
              <w:spacing w:line="276" w:lineRule="auto"/>
              <w:rPr>
                <w:rFonts w:ascii="Geomanist" w:hAnsi="Geomanist"/>
                <w:b/>
                <w:bCs/>
                <w:i/>
                <w:iCs/>
                <w:sz w:val="17"/>
                <w:szCs w:val="17"/>
              </w:rPr>
            </w:pPr>
            <w:r w:rsidRPr="00F1219F">
              <w:rPr>
                <w:rFonts w:ascii="Geomanist" w:hAnsi="Geomanist"/>
                <w:b/>
                <w:bCs/>
                <w:i/>
                <w:iCs/>
                <w:sz w:val="17"/>
                <w:szCs w:val="17"/>
              </w:rPr>
              <w:t>A.3 Participación de discapacitados</w:t>
            </w:r>
            <w:r w:rsidRPr="00F1219F">
              <w:rPr>
                <w:rFonts w:ascii="Geomanist" w:hAnsi="Geomanist"/>
                <w:b/>
                <w:bCs/>
                <w:sz w:val="17"/>
                <w:szCs w:val="17"/>
              </w:rPr>
              <w:t xml:space="preserve"> </w:t>
            </w:r>
            <w:r w:rsidRPr="00F1219F">
              <w:rPr>
                <w:rFonts w:ascii="Geomanist" w:hAnsi="Geomanist"/>
                <w:b/>
                <w:bCs/>
                <w:i/>
                <w:iCs/>
                <w:sz w:val="17"/>
                <w:szCs w:val="17"/>
              </w:rPr>
              <w:t>en la plantilla laboral del licitante en un (5%)</w:t>
            </w:r>
          </w:p>
        </w:tc>
        <w:tc>
          <w:tcPr>
            <w:tcW w:w="2073" w:type="dxa"/>
            <w:tcBorders>
              <w:top w:val="nil"/>
              <w:left w:val="nil"/>
              <w:bottom w:val="single" w:sz="8" w:space="0" w:color="auto"/>
              <w:right w:val="nil"/>
            </w:tcBorders>
            <w:shd w:val="clear" w:color="auto" w:fill="DAEEF3"/>
            <w:noWrap/>
            <w:vAlign w:val="center"/>
            <w:hideMark/>
          </w:tcPr>
          <w:p w14:paraId="349F3971" w14:textId="77777777" w:rsidR="00F1219F" w:rsidRPr="00F1219F" w:rsidRDefault="00F1219F" w:rsidP="00C74768">
            <w:pPr>
              <w:spacing w:line="276" w:lineRule="auto"/>
              <w:jc w:val="center"/>
              <w:rPr>
                <w:rFonts w:ascii="Geomanist" w:hAnsi="Geomanist"/>
                <w:b/>
                <w:bCs/>
                <w:i/>
                <w:iCs/>
                <w:sz w:val="17"/>
                <w:szCs w:val="17"/>
              </w:rPr>
            </w:pPr>
            <w:r w:rsidRPr="00F1219F">
              <w:rPr>
                <w:rFonts w:ascii="Geomanist" w:hAnsi="Geomanist" w:cs="Arial"/>
                <w:b/>
                <w:bCs/>
                <w:i/>
                <w:iCs/>
                <w:sz w:val="17"/>
                <w:szCs w:val="17"/>
              </w:rPr>
              <w:t>0.50%</w:t>
            </w:r>
          </w:p>
        </w:tc>
        <w:tc>
          <w:tcPr>
            <w:tcW w:w="1153" w:type="dxa"/>
            <w:tcBorders>
              <w:top w:val="nil"/>
              <w:left w:val="nil"/>
              <w:bottom w:val="single" w:sz="8" w:space="0" w:color="auto"/>
              <w:right w:val="nil"/>
            </w:tcBorders>
            <w:shd w:val="clear" w:color="auto" w:fill="DAEEF3"/>
            <w:noWrap/>
            <w:vAlign w:val="center"/>
            <w:hideMark/>
          </w:tcPr>
          <w:p w14:paraId="5B6B7FFD" w14:textId="77777777" w:rsidR="00F1219F" w:rsidRPr="00F1219F" w:rsidRDefault="00F1219F" w:rsidP="00C74768">
            <w:pPr>
              <w:spacing w:line="276" w:lineRule="auto"/>
              <w:jc w:val="center"/>
              <w:rPr>
                <w:rFonts w:ascii="Geomanist" w:hAnsi="Geomanist"/>
                <w:b/>
                <w:bCs/>
                <w:i/>
                <w:iCs/>
                <w:sz w:val="17"/>
                <w:szCs w:val="17"/>
              </w:rPr>
            </w:pPr>
            <w:r w:rsidRPr="00F1219F">
              <w:rPr>
                <w:rFonts w:ascii="Geomanist" w:hAnsi="Geomanist" w:cs="Calibri"/>
                <w:b/>
                <w:bCs/>
                <w:i/>
                <w:iCs/>
                <w:color w:val="000000"/>
                <w:sz w:val="17"/>
                <w:szCs w:val="17"/>
              </w:rPr>
              <w:t>0.18</w:t>
            </w:r>
          </w:p>
        </w:tc>
      </w:tr>
      <w:tr w:rsidR="00F1219F" w:rsidRPr="00F1219F" w14:paraId="507A4276" w14:textId="77777777" w:rsidTr="00C74768">
        <w:trPr>
          <w:trHeight w:val="113"/>
        </w:trPr>
        <w:tc>
          <w:tcPr>
            <w:tcW w:w="6491" w:type="dxa"/>
            <w:tcBorders>
              <w:top w:val="nil"/>
              <w:left w:val="nil"/>
              <w:bottom w:val="single" w:sz="8" w:space="0" w:color="auto"/>
              <w:right w:val="nil"/>
            </w:tcBorders>
            <w:shd w:val="clear" w:color="auto" w:fill="DAEEF3"/>
            <w:vAlign w:val="center"/>
            <w:hideMark/>
          </w:tcPr>
          <w:p w14:paraId="69FB4DD3" w14:textId="77777777" w:rsidR="00F1219F" w:rsidRPr="00F1219F" w:rsidRDefault="00F1219F" w:rsidP="00C74768">
            <w:pPr>
              <w:spacing w:line="276" w:lineRule="auto"/>
              <w:rPr>
                <w:rFonts w:ascii="Geomanist" w:hAnsi="Geomanist"/>
                <w:b/>
                <w:bCs/>
                <w:i/>
                <w:iCs/>
                <w:sz w:val="17"/>
                <w:szCs w:val="17"/>
              </w:rPr>
            </w:pPr>
            <w:r w:rsidRPr="00F1219F">
              <w:rPr>
                <w:rFonts w:ascii="Geomanist" w:hAnsi="Geomanist"/>
                <w:b/>
                <w:bCs/>
                <w:i/>
                <w:iCs/>
                <w:sz w:val="17"/>
                <w:szCs w:val="17"/>
              </w:rPr>
              <w:t>A.4 Certificación de políticas y prácticas de igualdad de género</w:t>
            </w:r>
          </w:p>
        </w:tc>
        <w:tc>
          <w:tcPr>
            <w:tcW w:w="2073" w:type="dxa"/>
            <w:tcBorders>
              <w:top w:val="nil"/>
              <w:left w:val="nil"/>
              <w:bottom w:val="single" w:sz="8" w:space="0" w:color="auto"/>
              <w:right w:val="nil"/>
            </w:tcBorders>
            <w:shd w:val="clear" w:color="auto" w:fill="DAEEF3"/>
            <w:noWrap/>
            <w:vAlign w:val="center"/>
            <w:hideMark/>
          </w:tcPr>
          <w:p w14:paraId="68E596BB" w14:textId="77777777" w:rsidR="00F1219F" w:rsidRPr="00F1219F" w:rsidRDefault="00F1219F" w:rsidP="00C74768">
            <w:pPr>
              <w:spacing w:line="276" w:lineRule="auto"/>
              <w:jc w:val="center"/>
              <w:rPr>
                <w:rFonts w:ascii="Geomanist" w:hAnsi="Geomanist"/>
                <w:b/>
                <w:bCs/>
                <w:i/>
                <w:iCs/>
                <w:sz w:val="17"/>
                <w:szCs w:val="17"/>
              </w:rPr>
            </w:pPr>
            <w:r w:rsidRPr="00F1219F">
              <w:rPr>
                <w:rFonts w:ascii="Geomanist" w:hAnsi="Geomanist" w:cs="Arial"/>
                <w:b/>
                <w:bCs/>
                <w:i/>
                <w:iCs/>
                <w:sz w:val="17"/>
                <w:szCs w:val="17"/>
              </w:rPr>
              <w:t>0.50%</w:t>
            </w:r>
          </w:p>
        </w:tc>
        <w:tc>
          <w:tcPr>
            <w:tcW w:w="1153" w:type="dxa"/>
            <w:tcBorders>
              <w:top w:val="nil"/>
              <w:left w:val="nil"/>
              <w:bottom w:val="single" w:sz="8" w:space="0" w:color="auto"/>
              <w:right w:val="nil"/>
            </w:tcBorders>
            <w:shd w:val="clear" w:color="auto" w:fill="DAEEF3"/>
            <w:noWrap/>
            <w:vAlign w:val="center"/>
            <w:hideMark/>
          </w:tcPr>
          <w:p w14:paraId="4AD4602C" w14:textId="77777777" w:rsidR="00F1219F" w:rsidRPr="00F1219F" w:rsidRDefault="00F1219F" w:rsidP="00C74768">
            <w:pPr>
              <w:spacing w:line="276" w:lineRule="auto"/>
              <w:jc w:val="center"/>
              <w:rPr>
                <w:rFonts w:ascii="Geomanist" w:hAnsi="Geomanist"/>
                <w:b/>
                <w:bCs/>
                <w:i/>
                <w:iCs/>
                <w:sz w:val="17"/>
                <w:szCs w:val="17"/>
              </w:rPr>
            </w:pPr>
            <w:r w:rsidRPr="00F1219F">
              <w:rPr>
                <w:rFonts w:ascii="Geomanist" w:hAnsi="Geomanist" w:cs="Calibri"/>
                <w:b/>
                <w:bCs/>
                <w:i/>
                <w:iCs/>
                <w:color w:val="000000"/>
                <w:sz w:val="17"/>
                <w:szCs w:val="17"/>
              </w:rPr>
              <w:t>0.18</w:t>
            </w:r>
          </w:p>
        </w:tc>
      </w:tr>
      <w:tr w:rsidR="00F1219F" w:rsidRPr="00F1219F" w14:paraId="28308A51" w14:textId="77777777" w:rsidTr="00C74768">
        <w:trPr>
          <w:trHeight w:val="113"/>
        </w:trPr>
        <w:tc>
          <w:tcPr>
            <w:tcW w:w="6491" w:type="dxa"/>
            <w:tcBorders>
              <w:top w:val="nil"/>
              <w:left w:val="nil"/>
              <w:bottom w:val="single" w:sz="8" w:space="0" w:color="auto"/>
              <w:right w:val="nil"/>
            </w:tcBorders>
            <w:shd w:val="clear" w:color="auto" w:fill="DAEEF3"/>
            <w:vAlign w:val="center"/>
            <w:hideMark/>
          </w:tcPr>
          <w:p w14:paraId="7D5497D5" w14:textId="77777777" w:rsidR="00F1219F" w:rsidRPr="00F1219F" w:rsidRDefault="00F1219F" w:rsidP="00C74768">
            <w:pPr>
              <w:spacing w:line="276" w:lineRule="auto"/>
              <w:rPr>
                <w:rFonts w:ascii="Geomanist" w:hAnsi="Geomanist"/>
                <w:b/>
                <w:bCs/>
                <w:i/>
                <w:iCs/>
                <w:sz w:val="17"/>
                <w:szCs w:val="17"/>
              </w:rPr>
            </w:pPr>
            <w:r w:rsidRPr="00F1219F">
              <w:rPr>
                <w:rFonts w:ascii="Geomanist" w:hAnsi="Geomanist"/>
                <w:b/>
                <w:bCs/>
                <w:i/>
                <w:iCs/>
                <w:sz w:val="17"/>
                <w:szCs w:val="17"/>
              </w:rPr>
              <w:t>A.5 Participación de MIPYMES que produzcan bienes con innovación tecnológica relacionados directamente con la prestación del servicio</w:t>
            </w:r>
          </w:p>
        </w:tc>
        <w:tc>
          <w:tcPr>
            <w:tcW w:w="2073" w:type="dxa"/>
            <w:tcBorders>
              <w:top w:val="nil"/>
              <w:left w:val="nil"/>
              <w:bottom w:val="single" w:sz="8" w:space="0" w:color="auto"/>
              <w:right w:val="nil"/>
            </w:tcBorders>
            <w:shd w:val="clear" w:color="auto" w:fill="DAEEF3"/>
            <w:noWrap/>
            <w:vAlign w:val="center"/>
            <w:hideMark/>
          </w:tcPr>
          <w:p w14:paraId="3151C6F5" w14:textId="77777777" w:rsidR="00F1219F" w:rsidRPr="00F1219F" w:rsidRDefault="00F1219F" w:rsidP="00C74768">
            <w:pPr>
              <w:spacing w:line="276" w:lineRule="auto"/>
              <w:jc w:val="center"/>
              <w:rPr>
                <w:rFonts w:ascii="Geomanist" w:hAnsi="Geomanist"/>
                <w:b/>
                <w:bCs/>
                <w:i/>
                <w:iCs/>
                <w:sz w:val="17"/>
                <w:szCs w:val="17"/>
              </w:rPr>
            </w:pPr>
            <w:r w:rsidRPr="00F1219F">
              <w:rPr>
                <w:rFonts w:ascii="Geomanist" w:hAnsi="Geomanist" w:cs="Arial"/>
                <w:b/>
                <w:bCs/>
                <w:i/>
                <w:iCs/>
                <w:sz w:val="17"/>
                <w:szCs w:val="17"/>
              </w:rPr>
              <w:t>0.50%</w:t>
            </w:r>
          </w:p>
        </w:tc>
        <w:tc>
          <w:tcPr>
            <w:tcW w:w="1153" w:type="dxa"/>
            <w:tcBorders>
              <w:top w:val="nil"/>
              <w:left w:val="nil"/>
              <w:bottom w:val="single" w:sz="8" w:space="0" w:color="auto"/>
              <w:right w:val="nil"/>
            </w:tcBorders>
            <w:shd w:val="clear" w:color="auto" w:fill="DAEEF3"/>
            <w:noWrap/>
            <w:vAlign w:val="center"/>
            <w:hideMark/>
          </w:tcPr>
          <w:p w14:paraId="294A7328" w14:textId="77777777" w:rsidR="00F1219F" w:rsidRPr="00F1219F" w:rsidRDefault="00F1219F" w:rsidP="00C74768">
            <w:pPr>
              <w:spacing w:line="276" w:lineRule="auto"/>
              <w:jc w:val="center"/>
              <w:rPr>
                <w:rFonts w:ascii="Geomanist" w:hAnsi="Geomanist"/>
                <w:b/>
                <w:bCs/>
                <w:i/>
                <w:iCs/>
                <w:sz w:val="17"/>
                <w:szCs w:val="17"/>
              </w:rPr>
            </w:pPr>
            <w:r w:rsidRPr="00F1219F">
              <w:rPr>
                <w:rFonts w:ascii="Geomanist" w:hAnsi="Geomanist" w:cs="Calibri"/>
                <w:b/>
                <w:bCs/>
                <w:i/>
                <w:iCs/>
                <w:color w:val="000000"/>
                <w:sz w:val="17"/>
                <w:szCs w:val="17"/>
              </w:rPr>
              <w:t>0.18</w:t>
            </w:r>
          </w:p>
        </w:tc>
      </w:tr>
      <w:tr w:rsidR="00F1219F" w:rsidRPr="00F1219F" w14:paraId="3CF93D92" w14:textId="77777777" w:rsidTr="00C74768">
        <w:trPr>
          <w:trHeight w:val="113"/>
        </w:trPr>
        <w:tc>
          <w:tcPr>
            <w:tcW w:w="6491" w:type="dxa"/>
            <w:tcBorders>
              <w:top w:val="nil"/>
              <w:left w:val="nil"/>
              <w:bottom w:val="single" w:sz="8" w:space="0" w:color="auto"/>
              <w:right w:val="nil"/>
            </w:tcBorders>
            <w:vAlign w:val="center"/>
            <w:hideMark/>
          </w:tcPr>
          <w:p w14:paraId="69371586" w14:textId="77777777" w:rsidR="00F1219F" w:rsidRPr="00F1219F" w:rsidRDefault="00F1219F" w:rsidP="00C74768">
            <w:pPr>
              <w:spacing w:line="276" w:lineRule="auto"/>
              <w:rPr>
                <w:rFonts w:ascii="Geomanist" w:hAnsi="Geomanist"/>
                <w:b/>
                <w:bCs/>
                <w:sz w:val="17"/>
                <w:szCs w:val="17"/>
              </w:rPr>
            </w:pPr>
            <w:r w:rsidRPr="00F1219F">
              <w:rPr>
                <w:rFonts w:ascii="Geomanist" w:hAnsi="Geomanist"/>
                <w:b/>
                <w:bCs/>
                <w:sz w:val="17"/>
                <w:szCs w:val="17"/>
              </w:rPr>
              <w:t>Rubro B. Experiencia y Especialidad</w:t>
            </w:r>
          </w:p>
        </w:tc>
        <w:tc>
          <w:tcPr>
            <w:tcW w:w="2073" w:type="dxa"/>
            <w:tcBorders>
              <w:top w:val="nil"/>
              <w:left w:val="nil"/>
              <w:bottom w:val="single" w:sz="8" w:space="0" w:color="auto"/>
              <w:right w:val="nil"/>
            </w:tcBorders>
            <w:noWrap/>
            <w:vAlign w:val="center"/>
            <w:hideMark/>
          </w:tcPr>
          <w:p w14:paraId="01419631" w14:textId="77777777" w:rsidR="00F1219F" w:rsidRPr="00F1219F" w:rsidRDefault="00F1219F" w:rsidP="00C74768">
            <w:pPr>
              <w:spacing w:line="276" w:lineRule="auto"/>
              <w:jc w:val="center"/>
              <w:rPr>
                <w:rFonts w:ascii="Geomanist" w:hAnsi="Geomanist"/>
                <w:b/>
                <w:bCs/>
                <w:sz w:val="17"/>
                <w:szCs w:val="17"/>
              </w:rPr>
            </w:pPr>
            <w:r w:rsidRPr="00F1219F">
              <w:rPr>
                <w:rFonts w:ascii="Geomanist" w:hAnsi="Geomanist" w:cs="Arial"/>
                <w:b/>
                <w:bCs/>
                <w:sz w:val="17"/>
                <w:szCs w:val="17"/>
              </w:rPr>
              <w:t>10.00%</w:t>
            </w:r>
          </w:p>
        </w:tc>
        <w:tc>
          <w:tcPr>
            <w:tcW w:w="1153" w:type="dxa"/>
            <w:tcBorders>
              <w:top w:val="nil"/>
              <w:left w:val="nil"/>
              <w:bottom w:val="single" w:sz="8" w:space="0" w:color="auto"/>
              <w:right w:val="nil"/>
            </w:tcBorders>
            <w:noWrap/>
            <w:vAlign w:val="center"/>
            <w:hideMark/>
          </w:tcPr>
          <w:p w14:paraId="4C2B877A"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Calibri"/>
                <w:b/>
                <w:bCs/>
                <w:color w:val="C65911"/>
                <w:sz w:val="17"/>
                <w:szCs w:val="17"/>
              </w:rPr>
              <w:t>8.00</w:t>
            </w:r>
          </w:p>
        </w:tc>
      </w:tr>
      <w:tr w:rsidR="00F1219F" w:rsidRPr="00F1219F" w14:paraId="5EC1D901" w14:textId="77777777" w:rsidTr="00C74768">
        <w:trPr>
          <w:trHeight w:val="113"/>
        </w:trPr>
        <w:tc>
          <w:tcPr>
            <w:tcW w:w="6491" w:type="dxa"/>
            <w:tcBorders>
              <w:top w:val="nil"/>
              <w:left w:val="nil"/>
              <w:bottom w:val="single" w:sz="8" w:space="0" w:color="auto"/>
              <w:right w:val="nil"/>
            </w:tcBorders>
            <w:vAlign w:val="center"/>
            <w:hideMark/>
          </w:tcPr>
          <w:p w14:paraId="40BBDEB5" w14:textId="77777777" w:rsidR="00F1219F" w:rsidRPr="00F1219F" w:rsidRDefault="00F1219F" w:rsidP="00C74768">
            <w:pPr>
              <w:spacing w:line="276" w:lineRule="auto"/>
              <w:rPr>
                <w:rFonts w:ascii="Geomanist" w:hAnsi="Geomanist"/>
                <w:i/>
                <w:iCs/>
                <w:sz w:val="17"/>
                <w:szCs w:val="17"/>
              </w:rPr>
            </w:pPr>
            <w:r w:rsidRPr="00F1219F">
              <w:rPr>
                <w:rFonts w:ascii="Geomanist" w:hAnsi="Geomanist"/>
                <w:i/>
                <w:iCs/>
                <w:sz w:val="17"/>
                <w:szCs w:val="17"/>
              </w:rPr>
              <w:t xml:space="preserve">B.1 Experiencia </w:t>
            </w:r>
          </w:p>
        </w:tc>
        <w:tc>
          <w:tcPr>
            <w:tcW w:w="2073" w:type="dxa"/>
            <w:tcBorders>
              <w:top w:val="nil"/>
              <w:left w:val="nil"/>
              <w:bottom w:val="single" w:sz="8" w:space="0" w:color="auto"/>
              <w:right w:val="nil"/>
            </w:tcBorders>
            <w:noWrap/>
            <w:vAlign w:val="center"/>
            <w:hideMark/>
          </w:tcPr>
          <w:p w14:paraId="025BA956"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Arial"/>
                <w:sz w:val="17"/>
                <w:szCs w:val="17"/>
              </w:rPr>
              <w:t>45.00%</w:t>
            </w:r>
          </w:p>
        </w:tc>
        <w:tc>
          <w:tcPr>
            <w:tcW w:w="1153" w:type="dxa"/>
            <w:tcBorders>
              <w:top w:val="nil"/>
              <w:left w:val="nil"/>
              <w:bottom w:val="single" w:sz="8" w:space="0" w:color="auto"/>
              <w:right w:val="nil"/>
            </w:tcBorders>
            <w:noWrap/>
            <w:vAlign w:val="center"/>
            <w:hideMark/>
          </w:tcPr>
          <w:p w14:paraId="117C0B15"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Calibri"/>
                <w:color w:val="000000"/>
                <w:sz w:val="17"/>
                <w:szCs w:val="17"/>
              </w:rPr>
              <w:t>3.60</w:t>
            </w:r>
          </w:p>
        </w:tc>
      </w:tr>
      <w:tr w:rsidR="00F1219F" w:rsidRPr="00F1219F" w14:paraId="5776E06B" w14:textId="77777777" w:rsidTr="00C74768">
        <w:trPr>
          <w:trHeight w:val="113"/>
        </w:trPr>
        <w:tc>
          <w:tcPr>
            <w:tcW w:w="6491" w:type="dxa"/>
            <w:tcBorders>
              <w:top w:val="nil"/>
              <w:left w:val="nil"/>
              <w:bottom w:val="single" w:sz="8" w:space="0" w:color="auto"/>
              <w:right w:val="nil"/>
            </w:tcBorders>
            <w:vAlign w:val="center"/>
            <w:hideMark/>
          </w:tcPr>
          <w:p w14:paraId="4DAEEAEE" w14:textId="77777777" w:rsidR="00F1219F" w:rsidRPr="00F1219F" w:rsidRDefault="00F1219F" w:rsidP="00C74768">
            <w:pPr>
              <w:spacing w:line="276" w:lineRule="auto"/>
              <w:rPr>
                <w:rFonts w:ascii="Geomanist" w:hAnsi="Geomanist"/>
                <w:i/>
                <w:iCs/>
                <w:sz w:val="17"/>
                <w:szCs w:val="17"/>
              </w:rPr>
            </w:pPr>
            <w:r w:rsidRPr="00F1219F">
              <w:rPr>
                <w:rFonts w:ascii="Geomanist" w:hAnsi="Geomanist"/>
                <w:i/>
                <w:iCs/>
                <w:sz w:val="17"/>
                <w:szCs w:val="17"/>
              </w:rPr>
              <w:t xml:space="preserve">B.2 Especialidad </w:t>
            </w:r>
          </w:p>
        </w:tc>
        <w:tc>
          <w:tcPr>
            <w:tcW w:w="2073" w:type="dxa"/>
            <w:tcBorders>
              <w:top w:val="nil"/>
              <w:left w:val="nil"/>
              <w:bottom w:val="single" w:sz="8" w:space="0" w:color="auto"/>
              <w:right w:val="nil"/>
            </w:tcBorders>
            <w:noWrap/>
            <w:vAlign w:val="center"/>
            <w:hideMark/>
          </w:tcPr>
          <w:p w14:paraId="4A77980F"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Arial"/>
                <w:sz w:val="17"/>
                <w:szCs w:val="17"/>
              </w:rPr>
              <w:t>55.00%</w:t>
            </w:r>
          </w:p>
        </w:tc>
        <w:tc>
          <w:tcPr>
            <w:tcW w:w="1153" w:type="dxa"/>
            <w:tcBorders>
              <w:top w:val="nil"/>
              <w:left w:val="nil"/>
              <w:bottom w:val="single" w:sz="8" w:space="0" w:color="auto"/>
              <w:right w:val="nil"/>
            </w:tcBorders>
            <w:noWrap/>
            <w:vAlign w:val="center"/>
            <w:hideMark/>
          </w:tcPr>
          <w:p w14:paraId="69114AFE"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Calibri"/>
                <w:color w:val="000000"/>
                <w:sz w:val="17"/>
                <w:szCs w:val="17"/>
              </w:rPr>
              <w:t>4.40</w:t>
            </w:r>
          </w:p>
        </w:tc>
      </w:tr>
      <w:tr w:rsidR="00F1219F" w:rsidRPr="00F1219F" w14:paraId="22D49A60" w14:textId="77777777" w:rsidTr="00C74768">
        <w:trPr>
          <w:trHeight w:val="113"/>
        </w:trPr>
        <w:tc>
          <w:tcPr>
            <w:tcW w:w="6491" w:type="dxa"/>
            <w:tcBorders>
              <w:top w:val="nil"/>
              <w:left w:val="nil"/>
              <w:bottom w:val="single" w:sz="8" w:space="0" w:color="auto"/>
              <w:right w:val="nil"/>
            </w:tcBorders>
            <w:vAlign w:val="center"/>
            <w:hideMark/>
          </w:tcPr>
          <w:p w14:paraId="068C432A" w14:textId="77777777" w:rsidR="00F1219F" w:rsidRPr="00F1219F" w:rsidRDefault="00F1219F" w:rsidP="00C74768">
            <w:pPr>
              <w:spacing w:line="276" w:lineRule="auto"/>
              <w:rPr>
                <w:rFonts w:ascii="Geomanist" w:hAnsi="Geomanist"/>
                <w:b/>
                <w:bCs/>
                <w:sz w:val="17"/>
                <w:szCs w:val="17"/>
              </w:rPr>
            </w:pPr>
            <w:r w:rsidRPr="00F1219F">
              <w:rPr>
                <w:rFonts w:ascii="Geomanist" w:hAnsi="Geomanist"/>
                <w:b/>
                <w:bCs/>
                <w:sz w:val="17"/>
                <w:szCs w:val="17"/>
              </w:rPr>
              <w:t>Rubro C. Propuesta de Trabajo</w:t>
            </w:r>
          </w:p>
        </w:tc>
        <w:tc>
          <w:tcPr>
            <w:tcW w:w="2073" w:type="dxa"/>
            <w:tcBorders>
              <w:top w:val="nil"/>
              <w:left w:val="nil"/>
              <w:bottom w:val="single" w:sz="8" w:space="0" w:color="auto"/>
              <w:right w:val="nil"/>
            </w:tcBorders>
            <w:noWrap/>
            <w:vAlign w:val="center"/>
            <w:hideMark/>
          </w:tcPr>
          <w:p w14:paraId="4DF95103" w14:textId="77777777" w:rsidR="00F1219F" w:rsidRPr="00F1219F" w:rsidRDefault="00F1219F" w:rsidP="00C74768">
            <w:pPr>
              <w:spacing w:line="276" w:lineRule="auto"/>
              <w:jc w:val="center"/>
              <w:rPr>
                <w:rFonts w:ascii="Geomanist" w:hAnsi="Geomanist"/>
                <w:b/>
                <w:bCs/>
                <w:sz w:val="17"/>
                <w:szCs w:val="17"/>
              </w:rPr>
            </w:pPr>
            <w:r w:rsidRPr="00F1219F">
              <w:rPr>
                <w:rFonts w:ascii="Geomanist" w:hAnsi="Geomanist" w:cs="Arial"/>
                <w:b/>
                <w:bCs/>
                <w:sz w:val="17"/>
                <w:szCs w:val="17"/>
              </w:rPr>
              <w:t>30.00%</w:t>
            </w:r>
          </w:p>
        </w:tc>
        <w:tc>
          <w:tcPr>
            <w:tcW w:w="1153" w:type="dxa"/>
            <w:tcBorders>
              <w:top w:val="nil"/>
              <w:left w:val="nil"/>
              <w:bottom w:val="single" w:sz="8" w:space="0" w:color="auto"/>
              <w:right w:val="nil"/>
            </w:tcBorders>
            <w:noWrap/>
            <w:vAlign w:val="center"/>
            <w:hideMark/>
          </w:tcPr>
          <w:p w14:paraId="70A5C71D"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Calibri"/>
                <w:b/>
                <w:bCs/>
                <w:color w:val="C65911"/>
                <w:sz w:val="17"/>
                <w:szCs w:val="17"/>
              </w:rPr>
              <w:t>24.00</w:t>
            </w:r>
          </w:p>
        </w:tc>
      </w:tr>
      <w:tr w:rsidR="00F1219F" w:rsidRPr="00F1219F" w14:paraId="75FE7E47" w14:textId="77777777" w:rsidTr="00C74768">
        <w:trPr>
          <w:trHeight w:val="113"/>
        </w:trPr>
        <w:tc>
          <w:tcPr>
            <w:tcW w:w="6491" w:type="dxa"/>
            <w:tcBorders>
              <w:top w:val="nil"/>
              <w:left w:val="nil"/>
              <w:bottom w:val="single" w:sz="8" w:space="0" w:color="auto"/>
              <w:right w:val="nil"/>
            </w:tcBorders>
            <w:vAlign w:val="center"/>
            <w:hideMark/>
          </w:tcPr>
          <w:p w14:paraId="51330BA6" w14:textId="77777777" w:rsidR="00F1219F" w:rsidRPr="00F1219F" w:rsidRDefault="00F1219F" w:rsidP="00C74768">
            <w:pPr>
              <w:spacing w:line="276" w:lineRule="auto"/>
              <w:rPr>
                <w:rFonts w:ascii="Geomanist" w:hAnsi="Geomanist"/>
                <w:i/>
                <w:iCs/>
                <w:sz w:val="17"/>
                <w:szCs w:val="17"/>
              </w:rPr>
            </w:pPr>
            <w:r w:rsidRPr="00F1219F">
              <w:rPr>
                <w:rFonts w:ascii="Geomanist" w:hAnsi="Geomanist"/>
                <w:i/>
                <w:iCs/>
                <w:sz w:val="17"/>
                <w:szCs w:val="17"/>
              </w:rPr>
              <w:t>C.1 Metodología para la prestación del servicio</w:t>
            </w:r>
          </w:p>
        </w:tc>
        <w:tc>
          <w:tcPr>
            <w:tcW w:w="2073" w:type="dxa"/>
            <w:tcBorders>
              <w:top w:val="nil"/>
              <w:left w:val="nil"/>
              <w:bottom w:val="single" w:sz="8" w:space="0" w:color="auto"/>
              <w:right w:val="nil"/>
            </w:tcBorders>
            <w:noWrap/>
            <w:vAlign w:val="center"/>
            <w:hideMark/>
          </w:tcPr>
          <w:p w14:paraId="2E52B0AE"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Arial"/>
                <w:sz w:val="17"/>
                <w:szCs w:val="17"/>
              </w:rPr>
              <w:t>30.00%</w:t>
            </w:r>
          </w:p>
        </w:tc>
        <w:tc>
          <w:tcPr>
            <w:tcW w:w="1153" w:type="dxa"/>
            <w:tcBorders>
              <w:top w:val="nil"/>
              <w:left w:val="nil"/>
              <w:bottom w:val="single" w:sz="8" w:space="0" w:color="auto"/>
              <w:right w:val="nil"/>
            </w:tcBorders>
            <w:noWrap/>
            <w:vAlign w:val="center"/>
            <w:hideMark/>
          </w:tcPr>
          <w:p w14:paraId="3550C0BA"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Calibri"/>
                <w:color w:val="000000"/>
                <w:sz w:val="17"/>
                <w:szCs w:val="17"/>
              </w:rPr>
              <w:t>7.20</w:t>
            </w:r>
          </w:p>
        </w:tc>
      </w:tr>
      <w:tr w:rsidR="00F1219F" w:rsidRPr="00F1219F" w14:paraId="2EABC572" w14:textId="77777777" w:rsidTr="00C74768">
        <w:trPr>
          <w:trHeight w:val="113"/>
        </w:trPr>
        <w:tc>
          <w:tcPr>
            <w:tcW w:w="6491" w:type="dxa"/>
            <w:tcBorders>
              <w:top w:val="nil"/>
              <w:left w:val="nil"/>
              <w:bottom w:val="single" w:sz="8" w:space="0" w:color="auto"/>
              <w:right w:val="nil"/>
            </w:tcBorders>
            <w:vAlign w:val="center"/>
            <w:hideMark/>
          </w:tcPr>
          <w:p w14:paraId="3F3F5A69" w14:textId="77777777" w:rsidR="00F1219F" w:rsidRPr="00F1219F" w:rsidRDefault="00F1219F" w:rsidP="00C74768">
            <w:pPr>
              <w:spacing w:line="276" w:lineRule="auto"/>
              <w:rPr>
                <w:rFonts w:ascii="Geomanist" w:hAnsi="Geomanist"/>
                <w:i/>
                <w:iCs/>
                <w:sz w:val="17"/>
                <w:szCs w:val="17"/>
              </w:rPr>
            </w:pPr>
            <w:r w:rsidRPr="00F1219F">
              <w:rPr>
                <w:rFonts w:ascii="Geomanist" w:hAnsi="Geomanist"/>
                <w:i/>
                <w:iCs/>
                <w:sz w:val="17"/>
                <w:szCs w:val="17"/>
              </w:rPr>
              <w:t>C.2 Plan de trabajo propuesto por el licitante</w:t>
            </w:r>
          </w:p>
        </w:tc>
        <w:tc>
          <w:tcPr>
            <w:tcW w:w="2073" w:type="dxa"/>
            <w:tcBorders>
              <w:top w:val="nil"/>
              <w:left w:val="nil"/>
              <w:bottom w:val="single" w:sz="8" w:space="0" w:color="auto"/>
              <w:right w:val="nil"/>
            </w:tcBorders>
            <w:noWrap/>
            <w:vAlign w:val="center"/>
            <w:hideMark/>
          </w:tcPr>
          <w:p w14:paraId="7C7C4848"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Arial"/>
                <w:sz w:val="17"/>
                <w:szCs w:val="17"/>
              </w:rPr>
              <w:t>50.00%</w:t>
            </w:r>
          </w:p>
        </w:tc>
        <w:tc>
          <w:tcPr>
            <w:tcW w:w="1153" w:type="dxa"/>
            <w:tcBorders>
              <w:top w:val="nil"/>
              <w:left w:val="nil"/>
              <w:bottom w:val="single" w:sz="8" w:space="0" w:color="auto"/>
              <w:right w:val="nil"/>
            </w:tcBorders>
            <w:noWrap/>
            <w:vAlign w:val="center"/>
            <w:hideMark/>
          </w:tcPr>
          <w:p w14:paraId="46EDDFB4"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Calibri"/>
                <w:color w:val="000000"/>
                <w:sz w:val="17"/>
                <w:szCs w:val="17"/>
              </w:rPr>
              <w:t>12.00</w:t>
            </w:r>
          </w:p>
        </w:tc>
      </w:tr>
      <w:tr w:rsidR="00F1219F" w:rsidRPr="00F1219F" w14:paraId="7DF37F35" w14:textId="77777777" w:rsidTr="00C74768">
        <w:trPr>
          <w:trHeight w:val="113"/>
        </w:trPr>
        <w:tc>
          <w:tcPr>
            <w:tcW w:w="6491" w:type="dxa"/>
            <w:tcBorders>
              <w:top w:val="nil"/>
              <w:left w:val="nil"/>
              <w:bottom w:val="single" w:sz="8" w:space="0" w:color="auto"/>
              <w:right w:val="nil"/>
            </w:tcBorders>
            <w:vAlign w:val="center"/>
            <w:hideMark/>
          </w:tcPr>
          <w:p w14:paraId="0EC28414" w14:textId="77777777" w:rsidR="00F1219F" w:rsidRPr="00F1219F" w:rsidRDefault="00F1219F" w:rsidP="00C74768">
            <w:pPr>
              <w:spacing w:line="276" w:lineRule="auto"/>
              <w:rPr>
                <w:rFonts w:ascii="Geomanist" w:hAnsi="Geomanist"/>
                <w:i/>
                <w:iCs/>
                <w:sz w:val="17"/>
                <w:szCs w:val="17"/>
              </w:rPr>
            </w:pPr>
            <w:r w:rsidRPr="00F1219F">
              <w:rPr>
                <w:rFonts w:ascii="Geomanist" w:hAnsi="Geomanist"/>
                <w:i/>
                <w:iCs/>
                <w:sz w:val="17"/>
                <w:szCs w:val="17"/>
              </w:rPr>
              <w:t>C.3 Esquema estructural de la organización de los recursos humanos (Organigrama)</w:t>
            </w:r>
          </w:p>
        </w:tc>
        <w:tc>
          <w:tcPr>
            <w:tcW w:w="2073" w:type="dxa"/>
            <w:tcBorders>
              <w:top w:val="nil"/>
              <w:left w:val="nil"/>
              <w:bottom w:val="single" w:sz="8" w:space="0" w:color="auto"/>
              <w:right w:val="nil"/>
            </w:tcBorders>
            <w:noWrap/>
            <w:vAlign w:val="center"/>
            <w:hideMark/>
          </w:tcPr>
          <w:p w14:paraId="5751A8B0"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Arial"/>
                <w:sz w:val="17"/>
                <w:szCs w:val="17"/>
              </w:rPr>
              <w:t>20.00%</w:t>
            </w:r>
          </w:p>
        </w:tc>
        <w:tc>
          <w:tcPr>
            <w:tcW w:w="1153" w:type="dxa"/>
            <w:tcBorders>
              <w:top w:val="nil"/>
              <w:left w:val="nil"/>
              <w:bottom w:val="single" w:sz="8" w:space="0" w:color="auto"/>
              <w:right w:val="nil"/>
            </w:tcBorders>
            <w:noWrap/>
            <w:vAlign w:val="center"/>
            <w:hideMark/>
          </w:tcPr>
          <w:p w14:paraId="72C15554"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Calibri"/>
                <w:color w:val="000000"/>
                <w:sz w:val="17"/>
                <w:szCs w:val="17"/>
              </w:rPr>
              <w:t>4.80</w:t>
            </w:r>
          </w:p>
        </w:tc>
      </w:tr>
      <w:tr w:rsidR="00F1219F" w:rsidRPr="00F1219F" w14:paraId="04AAFA74" w14:textId="77777777" w:rsidTr="00C74768">
        <w:trPr>
          <w:trHeight w:val="113"/>
        </w:trPr>
        <w:tc>
          <w:tcPr>
            <w:tcW w:w="6491" w:type="dxa"/>
            <w:tcBorders>
              <w:top w:val="nil"/>
              <w:left w:val="nil"/>
              <w:bottom w:val="single" w:sz="8" w:space="0" w:color="auto"/>
              <w:right w:val="nil"/>
            </w:tcBorders>
            <w:vAlign w:val="center"/>
            <w:hideMark/>
          </w:tcPr>
          <w:p w14:paraId="016412A9" w14:textId="77777777" w:rsidR="00F1219F" w:rsidRPr="00F1219F" w:rsidRDefault="00F1219F" w:rsidP="00C74768">
            <w:pPr>
              <w:spacing w:line="276" w:lineRule="auto"/>
              <w:rPr>
                <w:rFonts w:ascii="Geomanist" w:hAnsi="Geomanist"/>
                <w:b/>
                <w:bCs/>
                <w:sz w:val="17"/>
                <w:szCs w:val="17"/>
              </w:rPr>
            </w:pPr>
            <w:r w:rsidRPr="00F1219F">
              <w:rPr>
                <w:rFonts w:ascii="Geomanist" w:hAnsi="Geomanist"/>
                <w:b/>
                <w:bCs/>
                <w:sz w:val="17"/>
                <w:szCs w:val="17"/>
              </w:rPr>
              <w:t>Rubro D. Cumplimiento de contratos</w:t>
            </w:r>
          </w:p>
        </w:tc>
        <w:tc>
          <w:tcPr>
            <w:tcW w:w="2073" w:type="dxa"/>
            <w:tcBorders>
              <w:top w:val="nil"/>
              <w:left w:val="nil"/>
              <w:bottom w:val="single" w:sz="8" w:space="0" w:color="auto"/>
              <w:right w:val="nil"/>
            </w:tcBorders>
            <w:noWrap/>
            <w:vAlign w:val="center"/>
            <w:hideMark/>
          </w:tcPr>
          <w:p w14:paraId="772CA15A" w14:textId="77777777" w:rsidR="00F1219F" w:rsidRPr="00F1219F" w:rsidRDefault="00F1219F" w:rsidP="00C74768">
            <w:pPr>
              <w:spacing w:line="276" w:lineRule="auto"/>
              <w:jc w:val="center"/>
              <w:rPr>
                <w:rFonts w:ascii="Geomanist" w:hAnsi="Geomanist"/>
                <w:b/>
                <w:bCs/>
                <w:sz w:val="17"/>
                <w:szCs w:val="17"/>
              </w:rPr>
            </w:pPr>
            <w:r w:rsidRPr="00F1219F">
              <w:rPr>
                <w:rFonts w:ascii="Geomanist" w:hAnsi="Geomanist" w:cs="Arial"/>
                <w:b/>
                <w:bCs/>
                <w:sz w:val="17"/>
                <w:szCs w:val="17"/>
              </w:rPr>
              <w:t>15.00%</w:t>
            </w:r>
          </w:p>
        </w:tc>
        <w:tc>
          <w:tcPr>
            <w:tcW w:w="1153" w:type="dxa"/>
            <w:tcBorders>
              <w:top w:val="nil"/>
              <w:left w:val="nil"/>
              <w:bottom w:val="single" w:sz="8" w:space="0" w:color="auto"/>
              <w:right w:val="nil"/>
            </w:tcBorders>
            <w:noWrap/>
            <w:vAlign w:val="center"/>
            <w:hideMark/>
          </w:tcPr>
          <w:p w14:paraId="0636F03D"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Calibri"/>
                <w:b/>
                <w:bCs/>
                <w:color w:val="C65911"/>
                <w:sz w:val="17"/>
                <w:szCs w:val="17"/>
              </w:rPr>
              <w:t>12.00</w:t>
            </w:r>
          </w:p>
        </w:tc>
      </w:tr>
      <w:tr w:rsidR="00F1219F" w:rsidRPr="00F1219F" w14:paraId="3F540ED4" w14:textId="77777777" w:rsidTr="00C74768">
        <w:trPr>
          <w:trHeight w:val="113"/>
        </w:trPr>
        <w:tc>
          <w:tcPr>
            <w:tcW w:w="6491" w:type="dxa"/>
            <w:tcBorders>
              <w:top w:val="nil"/>
              <w:left w:val="nil"/>
              <w:bottom w:val="single" w:sz="8" w:space="0" w:color="auto"/>
              <w:right w:val="nil"/>
            </w:tcBorders>
            <w:noWrap/>
            <w:vAlign w:val="center"/>
            <w:hideMark/>
          </w:tcPr>
          <w:p w14:paraId="2E56E0A6" w14:textId="77777777" w:rsidR="00F1219F" w:rsidRPr="00F1219F" w:rsidRDefault="00F1219F" w:rsidP="00C74768">
            <w:pPr>
              <w:spacing w:line="276" w:lineRule="auto"/>
              <w:rPr>
                <w:rFonts w:ascii="Geomanist" w:hAnsi="Geomanist"/>
                <w:b/>
                <w:bCs/>
                <w:sz w:val="17"/>
                <w:szCs w:val="17"/>
              </w:rPr>
            </w:pPr>
            <w:r w:rsidRPr="00F1219F">
              <w:rPr>
                <w:rFonts w:ascii="Geomanist" w:hAnsi="Geomanist"/>
                <w:b/>
                <w:bCs/>
                <w:sz w:val="17"/>
                <w:szCs w:val="17"/>
              </w:rPr>
              <w:t>Total</w:t>
            </w:r>
          </w:p>
        </w:tc>
        <w:tc>
          <w:tcPr>
            <w:tcW w:w="2073" w:type="dxa"/>
            <w:tcBorders>
              <w:top w:val="nil"/>
              <w:left w:val="nil"/>
              <w:bottom w:val="single" w:sz="8" w:space="0" w:color="auto"/>
              <w:right w:val="nil"/>
            </w:tcBorders>
            <w:noWrap/>
            <w:vAlign w:val="center"/>
            <w:hideMark/>
          </w:tcPr>
          <w:p w14:paraId="55F51619" w14:textId="77777777" w:rsidR="00F1219F" w:rsidRPr="00F1219F" w:rsidRDefault="00F1219F" w:rsidP="00C74768">
            <w:pPr>
              <w:spacing w:line="276" w:lineRule="auto"/>
              <w:jc w:val="center"/>
              <w:rPr>
                <w:rFonts w:ascii="Geomanist" w:hAnsi="Geomanist"/>
                <w:b/>
                <w:bCs/>
                <w:sz w:val="17"/>
                <w:szCs w:val="17"/>
              </w:rPr>
            </w:pPr>
            <w:r w:rsidRPr="00F1219F">
              <w:rPr>
                <w:rFonts w:ascii="Geomanist" w:hAnsi="Geomanist" w:cs="Arial"/>
                <w:b/>
                <w:bCs/>
                <w:sz w:val="17"/>
                <w:szCs w:val="17"/>
              </w:rPr>
              <w:t>100.00%</w:t>
            </w:r>
          </w:p>
        </w:tc>
        <w:tc>
          <w:tcPr>
            <w:tcW w:w="1153" w:type="dxa"/>
            <w:tcBorders>
              <w:top w:val="nil"/>
              <w:left w:val="nil"/>
              <w:bottom w:val="single" w:sz="8" w:space="0" w:color="auto"/>
              <w:right w:val="nil"/>
            </w:tcBorders>
            <w:noWrap/>
            <w:vAlign w:val="center"/>
            <w:hideMark/>
          </w:tcPr>
          <w:p w14:paraId="365D9619" w14:textId="77777777" w:rsidR="00F1219F" w:rsidRPr="00F1219F" w:rsidRDefault="00F1219F" w:rsidP="00C74768">
            <w:pPr>
              <w:spacing w:line="276" w:lineRule="auto"/>
              <w:jc w:val="center"/>
              <w:rPr>
                <w:rFonts w:ascii="Geomanist" w:hAnsi="Geomanist"/>
                <w:sz w:val="17"/>
                <w:szCs w:val="17"/>
              </w:rPr>
            </w:pPr>
            <w:r w:rsidRPr="00F1219F">
              <w:rPr>
                <w:rFonts w:ascii="Geomanist" w:hAnsi="Geomanist" w:cs="Calibri"/>
                <w:b/>
                <w:bCs/>
                <w:color w:val="000000"/>
                <w:sz w:val="17"/>
                <w:szCs w:val="17"/>
              </w:rPr>
              <w:t>80.00</w:t>
            </w:r>
          </w:p>
        </w:tc>
      </w:tr>
    </w:tbl>
    <w:p w14:paraId="16C9BB60" w14:textId="77777777" w:rsidR="00F1219F" w:rsidRPr="00F1219F" w:rsidRDefault="00F1219F" w:rsidP="00F1219F">
      <w:pPr>
        <w:spacing w:line="276" w:lineRule="auto"/>
        <w:jc w:val="both"/>
        <w:rPr>
          <w:rFonts w:ascii="Geomanist" w:hAnsi="Geomanist"/>
          <w:sz w:val="22"/>
          <w:szCs w:val="22"/>
        </w:rPr>
      </w:pPr>
    </w:p>
    <w:p w14:paraId="54261BFA" w14:textId="77777777" w:rsidR="00F1219F" w:rsidRPr="00F1219F" w:rsidRDefault="00F1219F" w:rsidP="00F1219F">
      <w:pPr>
        <w:spacing w:line="276" w:lineRule="auto"/>
        <w:jc w:val="both"/>
        <w:rPr>
          <w:rFonts w:ascii="Geomanist" w:hAnsi="Geomanist"/>
          <w:sz w:val="22"/>
          <w:szCs w:val="22"/>
        </w:rPr>
      </w:pPr>
      <w:r w:rsidRPr="00F1219F">
        <w:rPr>
          <w:rFonts w:ascii="Geomanist" w:hAnsi="Geomanist"/>
          <w:sz w:val="22"/>
          <w:szCs w:val="22"/>
        </w:rPr>
        <w:t>La evaluación de la(s) propuesta(s) técnica(s) se procederá a realizar de conformidad con lo establecido en la “Evaluación Técnica” que se establece en el documento mediante el cual se establecen los criterios a seguir para la evaluación técnica por puntos y porcentajes.</w:t>
      </w:r>
    </w:p>
    <w:p w14:paraId="550C384F" w14:textId="77777777" w:rsidR="00F1219F" w:rsidRPr="00F1219F" w:rsidRDefault="00F1219F" w:rsidP="00F1219F">
      <w:pPr>
        <w:spacing w:line="264" w:lineRule="auto"/>
        <w:jc w:val="both"/>
        <w:rPr>
          <w:rFonts w:ascii="Geomanist" w:eastAsia="Times New Roman" w:hAnsi="Geomanist" w:cs="Arial"/>
          <w:color w:val="000000"/>
          <w:sz w:val="20"/>
          <w:szCs w:val="20"/>
          <w:lang w:eastAsia="es-MX"/>
        </w:rPr>
      </w:pPr>
    </w:p>
    <w:p w14:paraId="344E4398" w14:textId="77777777" w:rsidR="00F1219F" w:rsidRPr="00F1219F" w:rsidRDefault="00F1219F" w:rsidP="00F1219F">
      <w:pPr>
        <w:spacing w:line="264" w:lineRule="auto"/>
        <w:jc w:val="both"/>
        <w:rPr>
          <w:rFonts w:ascii="Geomanist" w:hAnsi="Geomanist" w:cs="Times New Roman"/>
          <w:b/>
          <w:sz w:val="22"/>
          <w:szCs w:val="22"/>
        </w:rPr>
      </w:pPr>
      <w:r w:rsidRPr="00F1219F">
        <w:rPr>
          <w:rFonts w:ascii="Geomanist" w:hAnsi="Geomanist" w:cs="Times New Roman"/>
          <w:b/>
          <w:sz w:val="22"/>
          <w:szCs w:val="22"/>
        </w:rPr>
        <w:t>EL LICITANTE, DEBERÁ ENTREGAR LA DOCUMENTACIÓN CORRESPONDIENTE A CADA RUBRO Y SUBRUBRO DE CADA PARTIDA QUE OPTE PARTICIPAR</w:t>
      </w:r>
    </w:p>
    <w:p w14:paraId="3983F49D" w14:textId="77777777" w:rsidR="00F1219F" w:rsidRPr="00F1219F" w:rsidRDefault="00F1219F" w:rsidP="00F1219F">
      <w:pPr>
        <w:spacing w:line="264" w:lineRule="auto"/>
        <w:jc w:val="both"/>
        <w:rPr>
          <w:rFonts w:ascii="Geomanist" w:hAnsi="Geomanist" w:cs="Times New Roman"/>
          <w:sz w:val="22"/>
          <w:szCs w:val="22"/>
        </w:rPr>
      </w:pPr>
    </w:p>
    <w:p w14:paraId="164BEF13" w14:textId="77777777" w:rsidR="00F1219F" w:rsidRPr="00F1219F" w:rsidRDefault="00F1219F" w:rsidP="00F1219F">
      <w:pPr>
        <w:pStyle w:val="Ttulo2"/>
        <w:spacing w:before="0"/>
        <w:ind w:left="578" w:hanging="578"/>
        <w:rPr>
          <w:rFonts w:ascii="Geomanist" w:hAnsi="Geomanist" w:cs="Times New Roman"/>
          <w:b w:val="0"/>
          <w:color w:val="auto"/>
          <w:sz w:val="22"/>
          <w:szCs w:val="22"/>
          <w:lang w:val="es-ES"/>
        </w:rPr>
      </w:pPr>
      <w:r w:rsidRPr="00F1219F">
        <w:rPr>
          <w:rFonts w:ascii="Geomanist" w:hAnsi="Geomanist"/>
          <w:color w:val="auto"/>
          <w:sz w:val="22"/>
          <w:szCs w:val="22"/>
        </w:rPr>
        <w:t>Evaluación</w:t>
      </w:r>
      <w:r w:rsidRPr="00F1219F">
        <w:rPr>
          <w:rFonts w:ascii="Geomanist" w:hAnsi="Geomanist" w:cs="Times New Roman"/>
          <w:color w:val="auto"/>
          <w:sz w:val="22"/>
          <w:szCs w:val="22"/>
          <w:lang w:val="es-ES"/>
        </w:rPr>
        <w:t xml:space="preserve"> económica</w:t>
      </w:r>
    </w:p>
    <w:p w14:paraId="7A1F5CAD" w14:textId="77777777" w:rsidR="00F1219F" w:rsidRPr="00F1219F" w:rsidRDefault="00F1219F" w:rsidP="00F1219F">
      <w:pPr>
        <w:spacing w:line="264" w:lineRule="auto"/>
        <w:jc w:val="both"/>
        <w:rPr>
          <w:rFonts w:ascii="Geomanist" w:hAnsi="Geomanist" w:cs="Times New Roman"/>
          <w:sz w:val="22"/>
          <w:szCs w:val="22"/>
        </w:rPr>
      </w:pPr>
    </w:p>
    <w:p w14:paraId="20336291"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De advertirse que la(s) propuesta(s) técnica(s) evaluada(s) obtuvo(</w:t>
      </w:r>
      <w:proofErr w:type="spellStart"/>
      <w:r w:rsidRPr="00F1219F">
        <w:rPr>
          <w:rFonts w:ascii="Geomanist" w:hAnsi="Geomanist" w:cs="Times New Roman"/>
          <w:sz w:val="22"/>
          <w:szCs w:val="22"/>
        </w:rPr>
        <w:t>ieron</w:t>
      </w:r>
      <w:proofErr w:type="spellEnd"/>
      <w:r w:rsidRPr="00F1219F">
        <w:rPr>
          <w:rFonts w:ascii="Geomanist" w:hAnsi="Geomanist" w:cs="Times New Roman"/>
          <w:sz w:val="22"/>
          <w:szCs w:val="22"/>
        </w:rPr>
        <w:t xml:space="preserve">) una puntuación igual o superior a 60 puntos de la puntuación máxima de 80 puntos, se procederá a realizar la evaluación de las Propuestas Económicas, de conformidad con lo establecido en la “Evaluación Económica” </w:t>
      </w:r>
      <w:r w:rsidRPr="00F1219F">
        <w:rPr>
          <w:rFonts w:ascii="Geomanist" w:hAnsi="Geomanist"/>
          <w:sz w:val="22"/>
          <w:szCs w:val="22"/>
        </w:rPr>
        <w:t xml:space="preserve">en el Anexo Técnico </w:t>
      </w:r>
      <w:r w:rsidRPr="00F1219F">
        <w:rPr>
          <w:rFonts w:ascii="Geomanist" w:hAnsi="Geomanist" w:cs="Times New Roman"/>
          <w:sz w:val="22"/>
          <w:szCs w:val="22"/>
        </w:rPr>
        <w:t>mediante el cual se dan los criterios a seguir para la evaluación técnica por puntos y porcentajes.</w:t>
      </w:r>
    </w:p>
    <w:p w14:paraId="6E59291E" w14:textId="77777777" w:rsidR="00F1219F" w:rsidRPr="00F1219F" w:rsidRDefault="00F1219F" w:rsidP="00F1219F">
      <w:pPr>
        <w:spacing w:line="264" w:lineRule="auto"/>
        <w:jc w:val="both"/>
        <w:rPr>
          <w:rFonts w:ascii="Geomanist" w:hAnsi="Geomanist" w:cs="Times New Roman"/>
          <w:sz w:val="22"/>
          <w:szCs w:val="22"/>
        </w:rPr>
      </w:pPr>
    </w:p>
    <w:p w14:paraId="6D8B58EF" w14:textId="77777777" w:rsidR="00F1219F" w:rsidRPr="00F1219F" w:rsidRDefault="00F1219F" w:rsidP="00F1219F">
      <w:pPr>
        <w:pStyle w:val="Ttulo2"/>
        <w:spacing w:before="0"/>
        <w:ind w:left="578" w:hanging="578"/>
        <w:rPr>
          <w:rFonts w:ascii="Geomanist" w:hAnsi="Geomanist" w:cs="Times New Roman"/>
          <w:b w:val="0"/>
          <w:color w:val="auto"/>
          <w:sz w:val="22"/>
          <w:szCs w:val="22"/>
          <w:lang w:val="es-ES"/>
        </w:rPr>
      </w:pPr>
      <w:r w:rsidRPr="00F1219F">
        <w:rPr>
          <w:rFonts w:ascii="Geomanist" w:hAnsi="Geomanist"/>
          <w:color w:val="auto"/>
          <w:sz w:val="22"/>
          <w:szCs w:val="22"/>
        </w:rPr>
        <w:t>Evaluación</w:t>
      </w:r>
      <w:r w:rsidRPr="00F1219F">
        <w:rPr>
          <w:rFonts w:ascii="Geomanist" w:hAnsi="Geomanist" w:cs="Times New Roman"/>
          <w:color w:val="auto"/>
          <w:sz w:val="22"/>
          <w:szCs w:val="22"/>
          <w:lang w:val="es-ES"/>
        </w:rPr>
        <w:t xml:space="preserve"> final</w:t>
      </w:r>
    </w:p>
    <w:p w14:paraId="15DFBE8A" w14:textId="77777777" w:rsidR="00F1219F" w:rsidRPr="00F1219F" w:rsidRDefault="00F1219F" w:rsidP="00F1219F">
      <w:pPr>
        <w:spacing w:line="264" w:lineRule="auto"/>
        <w:jc w:val="both"/>
        <w:rPr>
          <w:rFonts w:ascii="Geomanist" w:hAnsi="Geomanist" w:cs="Times New Roman"/>
          <w:sz w:val="22"/>
          <w:szCs w:val="22"/>
        </w:rPr>
      </w:pPr>
    </w:p>
    <w:p w14:paraId="439D7565"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 xml:space="preserve">Para la evaluación final de las propuestas presentadas por los licitantes en cada partida se aplicará la fórmula prevista en la “Evaluación Final” que se establece en el </w:t>
      </w:r>
      <w:r w:rsidRPr="00F1219F">
        <w:rPr>
          <w:rFonts w:ascii="Geomanist" w:hAnsi="Geomanist"/>
          <w:sz w:val="22"/>
          <w:szCs w:val="22"/>
        </w:rPr>
        <w:t xml:space="preserve">Anexo Técnico que se incluye en el Anexo Número 1 (UNO) de la convocatoria, </w:t>
      </w:r>
      <w:r w:rsidRPr="00F1219F">
        <w:rPr>
          <w:rFonts w:ascii="Geomanist" w:hAnsi="Geomanist" w:cs="Times New Roman"/>
          <w:sz w:val="22"/>
          <w:szCs w:val="22"/>
        </w:rPr>
        <w:t>mediante el cual se establecen los criterios a seguir para la evaluación técnica por puntos y porcentajes.</w:t>
      </w:r>
    </w:p>
    <w:p w14:paraId="0AAD858D" w14:textId="77777777" w:rsidR="00F1219F" w:rsidRPr="00F1219F" w:rsidRDefault="00F1219F" w:rsidP="00F1219F">
      <w:pPr>
        <w:spacing w:line="264" w:lineRule="auto"/>
        <w:jc w:val="both"/>
        <w:rPr>
          <w:rFonts w:ascii="Geomanist" w:hAnsi="Geomanist" w:cs="Times New Roman"/>
          <w:sz w:val="22"/>
          <w:szCs w:val="22"/>
        </w:rPr>
      </w:pPr>
    </w:p>
    <w:p w14:paraId="3DE92E3E" w14:textId="77777777" w:rsidR="00F1219F" w:rsidRPr="00F1219F" w:rsidRDefault="00F1219F" w:rsidP="00F1219F">
      <w:pPr>
        <w:pStyle w:val="Ttulo2"/>
        <w:spacing w:before="0"/>
        <w:ind w:left="578" w:hanging="578"/>
        <w:rPr>
          <w:rFonts w:ascii="Geomanist" w:hAnsi="Geomanist"/>
          <w:color w:val="auto"/>
          <w:sz w:val="22"/>
          <w:szCs w:val="22"/>
        </w:rPr>
      </w:pPr>
      <w:r w:rsidRPr="00F1219F">
        <w:rPr>
          <w:rFonts w:ascii="Geomanist" w:hAnsi="Geomanist"/>
          <w:color w:val="auto"/>
          <w:sz w:val="22"/>
          <w:szCs w:val="22"/>
        </w:rPr>
        <w:lastRenderedPageBreak/>
        <w:t xml:space="preserve">Causas de </w:t>
      </w:r>
      <w:r w:rsidRPr="00F1219F">
        <w:rPr>
          <w:rFonts w:ascii="Geomanist" w:hAnsi="Geomanist"/>
          <w:color w:val="auto"/>
          <w:sz w:val="22"/>
          <w:szCs w:val="22"/>
          <w:lang w:val="es-MX"/>
        </w:rPr>
        <w:t>desechamiento</w:t>
      </w:r>
      <w:r w:rsidRPr="00F1219F">
        <w:rPr>
          <w:rFonts w:ascii="Geomanist" w:hAnsi="Geomanist"/>
          <w:color w:val="auto"/>
          <w:sz w:val="22"/>
          <w:szCs w:val="22"/>
        </w:rPr>
        <w:t xml:space="preserve"> de las propuestas presentadas</w:t>
      </w:r>
    </w:p>
    <w:p w14:paraId="359FC6F5" w14:textId="77777777" w:rsidR="00F1219F" w:rsidRPr="00F1219F" w:rsidRDefault="00F1219F" w:rsidP="00F1219F">
      <w:pPr>
        <w:spacing w:line="276" w:lineRule="auto"/>
        <w:jc w:val="both"/>
        <w:rPr>
          <w:rFonts w:ascii="Geomanist" w:eastAsia="Calibri" w:hAnsi="Geomanist" w:cs="Arial"/>
          <w:sz w:val="22"/>
          <w:szCs w:val="22"/>
        </w:rPr>
      </w:pPr>
    </w:p>
    <w:p w14:paraId="4DA074F4" w14:textId="77777777" w:rsidR="00F1219F" w:rsidRPr="00F1219F" w:rsidRDefault="00F1219F" w:rsidP="00F1219F">
      <w:pPr>
        <w:spacing w:line="276" w:lineRule="auto"/>
        <w:jc w:val="both"/>
        <w:rPr>
          <w:rFonts w:ascii="Geomanist" w:eastAsia="Calibri" w:hAnsi="Geomanist" w:cs="Arial"/>
          <w:sz w:val="22"/>
          <w:szCs w:val="22"/>
          <w:lang w:val="es-MX"/>
        </w:rPr>
      </w:pPr>
      <w:r w:rsidRPr="00F1219F">
        <w:rPr>
          <w:rFonts w:ascii="Geomanist" w:eastAsia="Calibri" w:hAnsi="Geomanist" w:cs="Arial"/>
          <w:sz w:val="22"/>
          <w:szCs w:val="22"/>
          <w:lang w:val="es-MX"/>
        </w:rPr>
        <w:t xml:space="preserve">Se desecharán las propuestas de los licitantes que incurran en uno o varios de los siguientes supuestos. </w:t>
      </w:r>
    </w:p>
    <w:p w14:paraId="1FB38737" w14:textId="77777777" w:rsidR="00F1219F" w:rsidRPr="00F1219F" w:rsidRDefault="00F1219F" w:rsidP="00F1219F">
      <w:pPr>
        <w:spacing w:line="276" w:lineRule="auto"/>
        <w:jc w:val="both"/>
        <w:rPr>
          <w:rFonts w:ascii="Geomanist" w:eastAsia="Calibri" w:hAnsi="Geomanist" w:cs="Arial"/>
          <w:sz w:val="22"/>
          <w:szCs w:val="22"/>
          <w:lang w:val="es-MX"/>
        </w:rPr>
      </w:pPr>
    </w:p>
    <w:p w14:paraId="455702E6" w14:textId="77777777" w:rsidR="00F1219F" w:rsidRPr="00F1219F" w:rsidRDefault="00F1219F" w:rsidP="00F1219F">
      <w:pPr>
        <w:numPr>
          <w:ilvl w:val="0"/>
          <w:numId w:val="49"/>
        </w:numPr>
        <w:spacing w:line="276" w:lineRule="auto"/>
        <w:ind w:left="709" w:hanging="425"/>
        <w:jc w:val="both"/>
        <w:rPr>
          <w:rFonts w:ascii="Geomanist" w:eastAsia="Calibri" w:hAnsi="Geomanist" w:cs="Times New Roman"/>
          <w:sz w:val="22"/>
          <w:szCs w:val="22"/>
          <w:lang w:val="es-MX"/>
        </w:rPr>
      </w:pPr>
      <w:r w:rsidRPr="00F1219F">
        <w:rPr>
          <w:rFonts w:ascii="Geomanist" w:eastAsia="Calibri" w:hAnsi="Geomanist" w:cs="Times New Roman"/>
          <w:sz w:val="22"/>
          <w:szCs w:val="22"/>
          <w:lang w:val="es-MX"/>
        </w:rPr>
        <w:t>Cuando se compruebe que tienen acuerdo con otros licitantes para elevar el costo del servicio solicitado o bien, así como en cualquier otro acuerdo que tenga como fin obtener una ventaja sobre los demás licitantes, en apego al Artículo 29, fracción XV de la LAASSP.</w:t>
      </w:r>
    </w:p>
    <w:p w14:paraId="36171B0E" w14:textId="77777777" w:rsidR="00F1219F" w:rsidRPr="00F1219F" w:rsidRDefault="00F1219F" w:rsidP="00F1219F">
      <w:pPr>
        <w:numPr>
          <w:ilvl w:val="0"/>
          <w:numId w:val="49"/>
        </w:numPr>
        <w:spacing w:line="276" w:lineRule="auto"/>
        <w:ind w:left="709" w:hanging="425"/>
        <w:jc w:val="both"/>
        <w:rPr>
          <w:rFonts w:ascii="Geomanist" w:eastAsia="Calibri" w:hAnsi="Geomanist" w:cs="Times New Roman"/>
          <w:sz w:val="22"/>
          <w:szCs w:val="22"/>
          <w:lang w:val="es-MX"/>
        </w:rPr>
      </w:pPr>
      <w:r w:rsidRPr="00F1219F">
        <w:rPr>
          <w:rFonts w:ascii="Geomanist" w:eastAsia="Calibri" w:hAnsi="Geomanist" w:cs="Times New Roman"/>
          <w:sz w:val="22"/>
          <w:szCs w:val="22"/>
          <w:lang w:val="es-MX"/>
        </w:rPr>
        <w:t xml:space="preserve">Cuando el licitante se encuentre en alguno de los supuestos establecidos por los Artículos 50 y 60 de la LAASSP. </w:t>
      </w:r>
    </w:p>
    <w:p w14:paraId="2F75B856" w14:textId="77777777" w:rsidR="00F1219F" w:rsidRPr="00F1219F" w:rsidRDefault="00F1219F" w:rsidP="00F1219F">
      <w:pPr>
        <w:numPr>
          <w:ilvl w:val="0"/>
          <w:numId w:val="49"/>
        </w:numPr>
        <w:spacing w:line="276" w:lineRule="auto"/>
        <w:ind w:left="709" w:hanging="425"/>
        <w:jc w:val="both"/>
        <w:rPr>
          <w:rFonts w:ascii="Geomanist" w:eastAsia="Calibri" w:hAnsi="Geomanist" w:cs="Times New Roman"/>
          <w:sz w:val="22"/>
          <w:szCs w:val="22"/>
          <w:lang w:val="es-MX"/>
        </w:rPr>
      </w:pPr>
      <w:r w:rsidRPr="00F1219F">
        <w:rPr>
          <w:rFonts w:ascii="Geomanist" w:eastAsia="Calibri" w:hAnsi="Geomanist" w:cs="Times New Roman"/>
          <w:sz w:val="22"/>
          <w:szCs w:val="22"/>
          <w:lang w:val="es-MX"/>
        </w:rPr>
        <w:t>En caso de que la propuesta económica supere el presupuesto autorizado en términos del Artículo 25 de la LAASSP.</w:t>
      </w:r>
    </w:p>
    <w:p w14:paraId="522D8353" w14:textId="77777777" w:rsidR="00F1219F" w:rsidRPr="00F1219F" w:rsidRDefault="00F1219F" w:rsidP="00F1219F">
      <w:pPr>
        <w:numPr>
          <w:ilvl w:val="0"/>
          <w:numId w:val="49"/>
        </w:numPr>
        <w:spacing w:line="276" w:lineRule="auto"/>
        <w:ind w:left="709" w:hanging="425"/>
        <w:jc w:val="both"/>
        <w:rPr>
          <w:rFonts w:ascii="Geomanist" w:eastAsia="Calibri" w:hAnsi="Geomanist" w:cs="Times New Roman"/>
          <w:sz w:val="22"/>
          <w:szCs w:val="22"/>
          <w:lang w:val="es-MX"/>
        </w:rPr>
      </w:pPr>
      <w:r w:rsidRPr="00F1219F">
        <w:rPr>
          <w:rFonts w:ascii="Geomanist" w:eastAsia="Calibri" w:hAnsi="Geomanist" w:cs="Times New Roman"/>
          <w:sz w:val="22"/>
          <w:szCs w:val="22"/>
          <w:lang w:val="es-MX"/>
        </w:rPr>
        <w:t>Cuando el licitante incurra en cualquier violación a las disposiciones de la LAASSP, a su Reglamento o a cualquier ordenamiento legal o normativo vinculado a este procedimiento.</w:t>
      </w:r>
    </w:p>
    <w:p w14:paraId="3713D6F4" w14:textId="77777777" w:rsidR="00F1219F" w:rsidRPr="00F1219F" w:rsidRDefault="00F1219F" w:rsidP="00F1219F">
      <w:pPr>
        <w:numPr>
          <w:ilvl w:val="0"/>
          <w:numId w:val="49"/>
        </w:numPr>
        <w:spacing w:line="276" w:lineRule="auto"/>
        <w:ind w:left="709" w:hanging="425"/>
        <w:jc w:val="both"/>
        <w:rPr>
          <w:rFonts w:ascii="Geomanist" w:eastAsia="Calibri" w:hAnsi="Geomanist" w:cs="Times New Roman"/>
          <w:sz w:val="22"/>
          <w:szCs w:val="22"/>
          <w:lang w:val="es-MX"/>
        </w:rPr>
      </w:pPr>
      <w:r w:rsidRPr="00F1219F">
        <w:rPr>
          <w:rFonts w:ascii="Geomanist" w:eastAsia="Calibri" w:hAnsi="Geomanist" w:cs="Times New Roman"/>
          <w:sz w:val="22"/>
          <w:szCs w:val="22"/>
          <w:lang w:val="es-MX"/>
        </w:rPr>
        <w:t>Cuando presenten más de una proposición técnica y/o económica para la misma partida.</w:t>
      </w:r>
    </w:p>
    <w:p w14:paraId="0F2A1347" w14:textId="77777777" w:rsidR="00F1219F" w:rsidRPr="00F1219F" w:rsidRDefault="00F1219F" w:rsidP="00F1219F">
      <w:pPr>
        <w:numPr>
          <w:ilvl w:val="0"/>
          <w:numId w:val="49"/>
        </w:numPr>
        <w:spacing w:line="276" w:lineRule="auto"/>
        <w:ind w:left="709" w:hanging="425"/>
        <w:jc w:val="both"/>
        <w:rPr>
          <w:rFonts w:ascii="Geomanist" w:eastAsia="Calibri" w:hAnsi="Geomanist" w:cs="Times New Roman"/>
          <w:sz w:val="22"/>
          <w:szCs w:val="22"/>
          <w:lang w:val="es-MX"/>
        </w:rPr>
      </w:pPr>
      <w:r w:rsidRPr="00F1219F">
        <w:rPr>
          <w:rFonts w:ascii="Geomanist" w:eastAsia="Calibri" w:hAnsi="Geomanist" w:cs="Times New Roman"/>
          <w:sz w:val="22"/>
          <w:szCs w:val="22"/>
          <w:lang w:val="es-MX"/>
        </w:rPr>
        <w:t>Cuando no cotice la totalidad del servicio requerido conforme a las condiciones y características solicitadas para la partida en la que participa en la presente Convocatoria.</w:t>
      </w:r>
    </w:p>
    <w:p w14:paraId="5C324CF4" w14:textId="77777777" w:rsidR="00F1219F" w:rsidRPr="00F1219F" w:rsidRDefault="00F1219F" w:rsidP="00F1219F">
      <w:pPr>
        <w:numPr>
          <w:ilvl w:val="0"/>
          <w:numId w:val="49"/>
        </w:numPr>
        <w:spacing w:line="276" w:lineRule="auto"/>
        <w:ind w:left="709" w:hanging="425"/>
        <w:jc w:val="both"/>
        <w:rPr>
          <w:rFonts w:ascii="Geomanist" w:eastAsia="Calibri" w:hAnsi="Geomanist" w:cs="Times New Roman"/>
          <w:sz w:val="22"/>
          <w:szCs w:val="22"/>
          <w:lang w:val="es-MX"/>
        </w:rPr>
      </w:pPr>
      <w:r w:rsidRPr="00F1219F">
        <w:rPr>
          <w:rFonts w:ascii="Geomanist" w:eastAsia="Calibri" w:hAnsi="Geomanist" w:cs="Times New Roman"/>
          <w:sz w:val="22"/>
          <w:szCs w:val="22"/>
          <w:lang w:val="es-MX"/>
        </w:rPr>
        <w:t>Que la propuesta técnica no alcance el mínimo de 60 puntos de los 80 puntos disponibles en la evaluación técnica.</w:t>
      </w:r>
    </w:p>
    <w:p w14:paraId="10BF1565" w14:textId="77777777" w:rsidR="00F1219F" w:rsidRPr="00F1219F" w:rsidRDefault="00F1219F" w:rsidP="00F1219F">
      <w:pPr>
        <w:numPr>
          <w:ilvl w:val="0"/>
          <w:numId w:val="49"/>
        </w:numPr>
        <w:spacing w:line="276" w:lineRule="auto"/>
        <w:ind w:left="709" w:hanging="425"/>
        <w:jc w:val="both"/>
        <w:rPr>
          <w:rFonts w:ascii="Geomanist" w:eastAsia="Calibri" w:hAnsi="Geomanist" w:cs="Times New Roman"/>
          <w:sz w:val="22"/>
          <w:szCs w:val="22"/>
          <w:lang w:val="es-MX"/>
        </w:rPr>
      </w:pPr>
      <w:r w:rsidRPr="00F1219F">
        <w:rPr>
          <w:rFonts w:ascii="Geomanist" w:eastAsia="Calibri" w:hAnsi="Geomanist" w:cs="Times New Roman"/>
          <w:sz w:val="22"/>
          <w:szCs w:val="22"/>
          <w:lang w:val="es-MX"/>
        </w:rPr>
        <w:t xml:space="preserve">En el caso de proposiciones conjuntas, no presentar el convenio correspondiente debidamente firmado por todos los integrantes de </w:t>
      </w:r>
      <w:proofErr w:type="gramStart"/>
      <w:r w:rsidRPr="00F1219F">
        <w:rPr>
          <w:rFonts w:ascii="Geomanist" w:eastAsia="Calibri" w:hAnsi="Geomanist" w:cs="Times New Roman"/>
          <w:sz w:val="22"/>
          <w:szCs w:val="22"/>
          <w:lang w:val="es-MX"/>
        </w:rPr>
        <w:t>la misma</w:t>
      </w:r>
      <w:proofErr w:type="gramEnd"/>
      <w:r w:rsidRPr="00F1219F">
        <w:rPr>
          <w:rFonts w:ascii="Geomanist" w:eastAsia="Calibri" w:hAnsi="Geomanist" w:cs="Times New Roman"/>
          <w:sz w:val="22"/>
          <w:szCs w:val="22"/>
          <w:lang w:val="es-MX"/>
        </w:rPr>
        <w:t>, conforme a lo establecido en el artículo 34 de la LAASSP y 44 de su Reglamento.</w:t>
      </w:r>
    </w:p>
    <w:p w14:paraId="0DA4749F" w14:textId="77777777" w:rsidR="00F1219F" w:rsidRPr="00F1219F" w:rsidRDefault="00F1219F" w:rsidP="00F1219F">
      <w:pPr>
        <w:numPr>
          <w:ilvl w:val="0"/>
          <w:numId w:val="49"/>
        </w:numPr>
        <w:spacing w:line="276" w:lineRule="auto"/>
        <w:ind w:left="709" w:hanging="425"/>
        <w:jc w:val="both"/>
        <w:rPr>
          <w:rFonts w:ascii="Geomanist" w:eastAsia="Calibri" w:hAnsi="Geomanist" w:cs="Times New Roman"/>
          <w:sz w:val="22"/>
          <w:szCs w:val="22"/>
          <w:lang w:val="es-MX"/>
        </w:rPr>
      </w:pPr>
      <w:r w:rsidRPr="00F1219F">
        <w:rPr>
          <w:rFonts w:ascii="Geomanist" w:eastAsia="Calibri" w:hAnsi="Geomanist" w:cs="Times New Roman"/>
          <w:sz w:val="22"/>
          <w:szCs w:val="22"/>
          <w:lang w:val="es-MX"/>
        </w:rPr>
        <w:t>En el caso de proposiciones conjuntas, que en el mismo, no se establezcan con precisión las partes a que cada persona se obligará, así como la manera en que se exigiría el cumplimiento de las obligaciones.</w:t>
      </w:r>
    </w:p>
    <w:p w14:paraId="791AC2B0" w14:textId="77777777" w:rsidR="00F1219F" w:rsidRPr="00F1219F" w:rsidRDefault="00F1219F" w:rsidP="00F1219F">
      <w:pPr>
        <w:numPr>
          <w:ilvl w:val="0"/>
          <w:numId w:val="49"/>
        </w:numPr>
        <w:spacing w:line="276" w:lineRule="auto"/>
        <w:ind w:left="709" w:hanging="425"/>
        <w:jc w:val="both"/>
        <w:rPr>
          <w:rFonts w:ascii="Geomanist" w:eastAsia="Calibri" w:hAnsi="Geomanist" w:cs="Times New Roman"/>
          <w:sz w:val="22"/>
          <w:szCs w:val="22"/>
          <w:lang w:val="es-MX"/>
        </w:rPr>
      </w:pPr>
      <w:r w:rsidRPr="00F1219F">
        <w:rPr>
          <w:rFonts w:ascii="Geomanist" w:eastAsia="Calibri" w:hAnsi="Geomanist" w:cs="Times New Roman"/>
          <w:sz w:val="22"/>
          <w:szCs w:val="22"/>
          <w:lang w:val="es-MX"/>
        </w:rPr>
        <w:t xml:space="preserve">Cuando la proposición técnica o económica no cuente con la firma electrónica del licitante o de su representante legal en el sistema </w:t>
      </w:r>
      <w:proofErr w:type="spellStart"/>
      <w:r w:rsidRPr="00F1219F">
        <w:rPr>
          <w:rFonts w:ascii="Geomanist" w:eastAsia="Calibri" w:hAnsi="Geomanist" w:cs="Times New Roman"/>
          <w:sz w:val="22"/>
          <w:szCs w:val="22"/>
          <w:lang w:val="es-MX"/>
        </w:rPr>
        <w:t>Compranet</w:t>
      </w:r>
      <w:proofErr w:type="spellEnd"/>
      <w:r w:rsidRPr="00F1219F">
        <w:rPr>
          <w:rFonts w:ascii="Geomanist" w:eastAsia="Calibri" w:hAnsi="Geomanist" w:cs="Times New Roman"/>
          <w:sz w:val="22"/>
          <w:szCs w:val="22"/>
          <w:lang w:val="es-MX"/>
        </w:rPr>
        <w:t>, establecido por la Secretaría de la Función Pública como medio de identificación electrónica, es decir, la firma electrónica avanzada que emite el SAT para el cumplimiento de las obligaciones fiscales o cuando dicha firma no sea válida.</w:t>
      </w:r>
    </w:p>
    <w:p w14:paraId="12ABCC5B" w14:textId="77777777" w:rsidR="00F1219F" w:rsidRPr="00F1219F" w:rsidRDefault="00F1219F" w:rsidP="00F1219F">
      <w:pPr>
        <w:numPr>
          <w:ilvl w:val="0"/>
          <w:numId w:val="49"/>
        </w:numPr>
        <w:spacing w:line="276" w:lineRule="auto"/>
        <w:ind w:left="709" w:hanging="425"/>
        <w:jc w:val="both"/>
        <w:rPr>
          <w:rFonts w:ascii="Geomanist" w:eastAsia="Calibri" w:hAnsi="Geomanist" w:cs="Times New Roman"/>
          <w:sz w:val="22"/>
          <w:szCs w:val="22"/>
          <w:lang w:val="es-MX"/>
        </w:rPr>
      </w:pPr>
      <w:r w:rsidRPr="00F1219F">
        <w:rPr>
          <w:rFonts w:ascii="Geomanist" w:eastAsia="Calibri" w:hAnsi="Geomanist" w:cs="Times New Roman"/>
          <w:sz w:val="22"/>
          <w:szCs w:val="22"/>
          <w:lang w:val="es-MX"/>
        </w:rPr>
        <w:t xml:space="preserve">Cuando no cumplan con alguno de los requisitos y anexos de la Convocatoria, así como los que se deriven del Acto de la Junta de Aclaraciones, y que con motivo de dicho incumplimiento se afecte directamente la solvencia de la propuesta, conforme a lo previsto en el último párrafo del Artículo 36 de la LAASSP. </w:t>
      </w:r>
    </w:p>
    <w:p w14:paraId="63CB809E" w14:textId="77777777" w:rsidR="00F1219F" w:rsidRPr="00F1219F" w:rsidRDefault="00F1219F" w:rsidP="00F1219F">
      <w:pPr>
        <w:numPr>
          <w:ilvl w:val="0"/>
          <w:numId w:val="49"/>
        </w:numPr>
        <w:spacing w:line="276" w:lineRule="auto"/>
        <w:ind w:left="709" w:hanging="425"/>
        <w:jc w:val="both"/>
        <w:rPr>
          <w:rFonts w:ascii="Geomanist" w:eastAsia="Calibri" w:hAnsi="Geomanist" w:cs="Times New Roman"/>
          <w:sz w:val="22"/>
          <w:szCs w:val="22"/>
          <w:lang w:val="es-MX"/>
        </w:rPr>
      </w:pPr>
      <w:r w:rsidRPr="00F1219F">
        <w:rPr>
          <w:rFonts w:ascii="Geomanist" w:eastAsia="Calibri" w:hAnsi="Geomanist" w:cs="Times New Roman"/>
          <w:sz w:val="22"/>
          <w:szCs w:val="22"/>
          <w:lang w:val="es-MX"/>
        </w:rPr>
        <w:lastRenderedPageBreak/>
        <w:t>Cuando el participante no cumpla con la entrega de uno o más documentos solicitados en el apartado “Requisitos de participación y documentación indispensable que los licitantes deberán de entregar para la Evaluación Técnica”.</w:t>
      </w:r>
    </w:p>
    <w:p w14:paraId="11122B22" w14:textId="77777777" w:rsidR="00F1219F" w:rsidRPr="00F1219F" w:rsidRDefault="00F1219F" w:rsidP="00F1219F">
      <w:pPr>
        <w:spacing w:line="264" w:lineRule="auto"/>
        <w:jc w:val="both"/>
        <w:rPr>
          <w:rFonts w:ascii="Geomanist" w:hAnsi="Geomanist" w:cs="Times New Roman"/>
          <w:sz w:val="22"/>
          <w:szCs w:val="22"/>
          <w:lang w:val="es-MX"/>
        </w:rPr>
      </w:pPr>
    </w:p>
    <w:p w14:paraId="010D62E4" w14:textId="6868451E" w:rsidR="00F1219F" w:rsidRPr="00F1219F" w:rsidRDefault="00F1219F" w:rsidP="00F1219F">
      <w:pPr>
        <w:pStyle w:val="Ttulo1"/>
        <w:spacing w:before="0"/>
        <w:ind w:left="437" w:hanging="437"/>
        <w:rPr>
          <w:rFonts w:ascii="Geomanist" w:hAnsi="Geomanist"/>
          <w:b/>
          <w:bCs/>
          <w:color w:val="000000" w:themeColor="text1"/>
          <w:sz w:val="22"/>
          <w:szCs w:val="22"/>
        </w:rPr>
      </w:pPr>
      <w:r w:rsidRPr="00F1219F">
        <w:rPr>
          <w:rFonts w:ascii="Geomanist" w:hAnsi="Geomanist"/>
          <w:b/>
          <w:bCs/>
          <w:color w:val="000000" w:themeColor="text1"/>
          <w:sz w:val="22"/>
          <w:szCs w:val="22"/>
        </w:rPr>
        <w:t>LICENCIAS, PERMISOS, REGISTROS, CERTIFICADOS O AUTORIZACIONES</w:t>
      </w:r>
    </w:p>
    <w:p w14:paraId="79976665" w14:textId="77777777" w:rsidR="00F1219F" w:rsidRPr="00F1219F" w:rsidRDefault="00F1219F" w:rsidP="00F1219F">
      <w:pPr>
        <w:spacing w:line="264" w:lineRule="auto"/>
        <w:jc w:val="both"/>
        <w:rPr>
          <w:rFonts w:ascii="Geomanist" w:hAnsi="Geomanist"/>
        </w:rPr>
      </w:pPr>
    </w:p>
    <w:p w14:paraId="404018EB" w14:textId="77777777" w:rsidR="00F1219F" w:rsidRPr="00F1219F" w:rsidRDefault="00F1219F" w:rsidP="00F1219F">
      <w:pPr>
        <w:pStyle w:val="Prrafodelista"/>
        <w:spacing w:after="0" w:line="264" w:lineRule="auto"/>
        <w:ind w:left="0"/>
        <w:jc w:val="both"/>
        <w:rPr>
          <w:rFonts w:ascii="Geomanist" w:hAnsi="Geomanist"/>
        </w:rPr>
      </w:pPr>
      <w:r w:rsidRPr="00F1219F">
        <w:rPr>
          <w:rFonts w:ascii="Geomanist" w:hAnsi="Geomanist"/>
        </w:rPr>
        <w:t>Para el presente procedimiento de contratación no se requiere la presentación de licencias, permisos, registros, certificados o autorizaciones.</w:t>
      </w:r>
    </w:p>
    <w:p w14:paraId="7608C7DC" w14:textId="77777777" w:rsidR="00F1219F" w:rsidRPr="00F1219F" w:rsidRDefault="00F1219F" w:rsidP="00F1219F">
      <w:pPr>
        <w:pStyle w:val="Prrafodelista"/>
        <w:spacing w:after="0" w:line="264" w:lineRule="auto"/>
        <w:ind w:left="284"/>
        <w:jc w:val="both"/>
        <w:rPr>
          <w:rFonts w:ascii="Geomanist" w:hAnsi="Geomanist"/>
        </w:rPr>
      </w:pPr>
    </w:p>
    <w:p w14:paraId="49E8309E" w14:textId="77777777" w:rsidR="00F1219F" w:rsidRPr="00F1219F" w:rsidRDefault="00F1219F" w:rsidP="00F1219F">
      <w:pPr>
        <w:pStyle w:val="Ttulo1"/>
        <w:spacing w:before="0"/>
        <w:ind w:left="437" w:hanging="437"/>
        <w:rPr>
          <w:rFonts w:ascii="Geomanist" w:hAnsi="Geomanist"/>
          <w:b/>
          <w:bCs/>
          <w:color w:val="000000" w:themeColor="text1"/>
          <w:sz w:val="22"/>
          <w:szCs w:val="22"/>
        </w:rPr>
      </w:pPr>
      <w:r w:rsidRPr="00F1219F">
        <w:rPr>
          <w:rFonts w:ascii="Geomanist" w:hAnsi="Geomanist"/>
          <w:b/>
          <w:bCs/>
          <w:color w:val="000000" w:themeColor="text1"/>
          <w:sz w:val="22"/>
          <w:szCs w:val="22"/>
        </w:rPr>
        <w:t>FOLLETOS, CATÁLOGOS, FOTOGRAFÍAS, MANUALES</w:t>
      </w:r>
    </w:p>
    <w:p w14:paraId="6B9DF43D" w14:textId="77777777" w:rsidR="00F1219F" w:rsidRPr="00F1219F" w:rsidRDefault="00F1219F" w:rsidP="00F1219F">
      <w:pPr>
        <w:spacing w:line="264" w:lineRule="auto"/>
        <w:jc w:val="both"/>
        <w:rPr>
          <w:rFonts w:ascii="Geomanist" w:hAnsi="Geomanist" w:cs="Times New Roman"/>
          <w:sz w:val="22"/>
          <w:szCs w:val="22"/>
        </w:rPr>
      </w:pPr>
    </w:p>
    <w:p w14:paraId="25AFB602"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No aplica.</w:t>
      </w:r>
    </w:p>
    <w:p w14:paraId="60E6294A" w14:textId="77777777" w:rsidR="00F1219F" w:rsidRPr="00F1219F" w:rsidRDefault="00F1219F" w:rsidP="00F1219F">
      <w:pPr>
        <w:spacing w:line="264" w:lineRule="auto"/>
        <w:jc w:val="both"/>
        <w:rPr>
          <w:rFonts w:ascii="Geomanist" w:hAnsi="Geomanist" w:cs="Times New Roman"/>
        </w:rPr>
      </w:pPr>
    </w:p>
    <w:p w14:paraId="78CAEF6B" w14:textId="77777777" w:rsidR="00F1219F" w:rsidRPr="00F1219F" w:rsidRDefault="00F1219F" w:rsidP="00F1219F">
      <w:pPr>
        <w:pStyle w:val="Ttulo1"/>
        <w:spacing w:before="0"/>
        <w:ind w:left="437" w:hanging="437"/>
        <w:rPr>
          <w:rFonts w:ascii="Geomanist" w:hAnsi="Geomanist"/>
          <w:b/>
          <w:bCs/>
          <w:color w:val="000000" w:themeColor="text1"/>
          <w:sz w:val="22"/>
          <w:szCs w:val="22"/>
        </w:rPr>
      </w:pPr>
      <w:r w:rsidRPr="00F1219F">
        <w:rPr>
          <w:rFonts w:ascii="Geomanist" w:hAnsi="Geomanist"/>
          <w:b/>
          <w:bCs/>
          <w:color w:val="000000" w:themeColor="text1"/>
          <w:sz w:val="22"/>
          <w:szCs w:val="22"/>
        </w:rPr>
        <w:t>VISITAS A LAS INSTALACIONES INSTITUCIONALES</w:t>
      </w:r>
    </w:p>
    <w:p w14:paraId="1C4FDF86" w14:textId="77777777" w:rsidR="00F1219F" w:rsidRPr="00F1219F" w:rsidRDefault="00F1219F" w:rsidP="00F1219F">
      <w:pPr>
        <w:spacing w:line="264" w:lineRule="auto"/>
        <w:jc w:val="both"/>
        <w:rPr>
          <w:rFonts w:ascii="Geomanist" w:hAnsi="Geomanist" w:cs="Times New Roman"/>
          <w:sz w:val="22"/>
          <w:szCs w:val="22"/>
        </w:rPr>
      </w:pPr>
    </w:p>
    <w:p w14:paraId="3F3ED0B3"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No aplica.</w:t>
      </w:r>
    </w:p>
    <w:p w14:paraId="67D945A2" w14:textId="77777777" w:rsidR="00F1219F" w:rsidRPr="00F1219F" w:rsidRDefault="00F1219F" w:rsidP="00F1219F">
      <w:pPr>
        <w:spacing w:line="264" w:lineRule="auto"/>
        <w:jc w:val="both"/>
        <w:rPr>
          <w:rFonts w:ascii="Geomanist" w:hAnsi="Geomanist" w:cs="Times New Roman"/>
          <w:sz w:val="22"/>
          <w:szCs w:val="22"/>
        </w:rPr>
      </w:pPr>
    </w:p>
    <w:p w14:paraId="15513331" w14:textId="77777777" w:rsidR="00F1219F" w:rsidRPr="00F1219F" w:rsidRDefault="00F1219F" w:rsidP="00F1219F">
      <w:pPr>
        <w:pStyle w:val="Ttulo1"/>
        <w:spacing w:before="0"/>
        <w:ind w:left="437" w:hanging="437"/>
        <w:rPr>
          <w:rFonts w:ascii="Geomanist" w:hAnsi="Geomanist"/>
          <w:b/>
          <w:bCs/>
          <w:color w:val="000000" w:themeColor="text1"/>
          <w:sz w:val="22"/>
          <w:szCs w:val="22"/>
        </w:rPr>
      </w:pPr>
      <w:r w:rsidRPr="00F1219F">
        <w:rPr>
          <w:rFonts w:ascii="Geomanist" w:hAnsi="Geomanist"/>
          <w:b/>
          <w:bCs/>
          <w:color w:val="000000" w:themeColor="text1"/>
          <w:sz w:val="22"/>
          <w:szCs w:val="22"/>
        </w:rPr>
        <w:t>VISITAS A LAS INSTALACIONES DE LOS LICITANTES</w:t>
      </w:r>
    </w:p>
    <w:p w14:paraId="6725A262" w14:textId="77777777" w:rsidR="00F1219F" w:rsidRPr="00F1219F" w:rsidRDefault="00F1219F" w:rsidP="00F1219F">
      <w:pPr>
        <w:spacing w:line="264" w:lineRule="auto"/>
        <w:jc w:val="both"/>
        <w:rPr>
          <w:rFonts w:ascii="Geomanist" w:hAnsi="Geomanist" w:cs="Times New Roman"/>
          <w:sz w:val="22"/>
          <w:szCs w:val="22"/>
        </w:rPr>
      </w:pPr>
    </w:p>
    <w:p w14:paraId="29D383A9"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No aplica.</w:t>
      </w:r>
    </w:p>
    <w:p w14:paraId="326EC01D" w14:textId="77777777" w:rsidR="00F1219F" w:rsidRPr="00F1219F" w:rsidRDefault="00F1219F" w:rsidP="00F1219F">
      <w:pPr>
        <w:spacing w:line="264" w:lineRule="auto"/>
        <w:jc w:val="both"/>
        <w:rPr>
          <w:rFonts w:ascii="Geomanist" w:hAnsi="Geomanist" w:cs="Times New Roman"/>
          <w:sz w:val="22"/>
          <w:szCs w:val="22"/>
        </w:rPr>
      </w:pPr>
    </w:p>
    <w:p w14:paraId="5DCCEA95" w14:textId="77777777" w:rsidR="00F1219F" w:rsidRPr="00F1219F" w:rsidRDefault="00F1219F" w:rsidP="00F1219F">
      <w:pPr>
        <w:pStyle w:val="Ttulo1"/>
        <w:spacing w:before="0"/>
        <w:ind w:left="437" w:hanging="437"/>
        <w:rPr>
          <w:rFonts w:ascii="Geomanist" w:hAnsi="Geomanist"/>
          <w:b/>
          <w:bCs/>
          <w:color w:val="000000" w:themeColor="text1"/>
          <w:sz w:val="22"/>
          <w:szCs w:val="22"/>
        </w:rPr>
      </w:pPr>
      <w:r w:rsidRPr="00F1219F">
        <w:rPr>
          <w:rFonts w:ascii="Geomanist" w:hAnsi="Geomanist"/>
          <w:b/>
          <w:bCs/>
          <w:color w:val="000000" w:themeColor="text1"/>
          <w:sz w:val="22"/>
          <w:szCs w:val="22"/>
        </w:rPr>
        <w:t>PENAS CONVENCIONALES Y DEDUCCIONES AL PAGO</w:t>
      </w:r>
    </w:p>
    <w:p w14:paraId="19502C00" w14:textId="77777777" w:rsidR="00F1219F" w:rsidRPr="00F1219F" w:rsidRDefault="00F1219F" w:rsidP="00F1219F">
      <w:pPr>
        <w:spacing w:line="264" w:lineRule="auto"/>
        <w:jc w:val="both"/>
        <w:rPr>
          <w:rFonts w:ascii="Geomanist" w:hAnsi="Geomanist"/>
          <w:sz w:val="22"/>
          <w:szCs w:val="22"/>
        </w:rPr>
      </w:pPr>
    </w:p>
    <w:p w14:paraId="33B4B59F"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sz w:val="22"/>
          <w:szCs w:val="22"/>
        </w:rPr>
        <w:t xml:space="preserve">Las </w:t>
      </w:r>
      <w:r w:rsidRPr="00F1219F">
        <w:rPr>
          <w:rFonts w:ascii="Geomanist" w:hAnsi="Geomanist" w:cs="Times New Roman"/>
          <w:sz w:val="22"/>
          <w:szCs w:val="22"/>
        </w:rPr>
        <w:t>penas convencionales y deducciones se aplicarán conforme a lo que se establece en los artículos 53 y 53 bis de la LAASSP, así como en la política 4.24.4 inciso h), y en las bases y lineamientos numeral 5.5.8 de los POBALINES.</w:t>
      </w:r>
    </w:p>
    <w:p w14:paraId="36A86263" w14:textId="77777777" w:rsidR="00F1219F" w:rsidRPr="00F1219F" w:rsidRDefault="00F1219F" w:rsidP="00F1219F">
      <w:pPr>
        <w:spacing w:line="264" w:lineRule="auto"/>
        <w:jc w:val="both"/>
        <w:rPr>
          <w:rFonts w:ascii="Geomanist" w:hAnsi="Geomanist" w:cs="Times New Roman"/>
          <w:sz w:val="22"/>
          <w:szCs w:val="22"/>
        </w:rPr>
      </w:pPr>
    </w:p>
    <w:p w14:paraId="74D350B2" w14:textId="77777777" w:rsidR="00F1219F" w:rsidRPr="00F1219F" w:rsidRDefault="00F1219F" w:rsidP="00F1219F">
      <w:pPr>
        <w:pStyle w:val="Ttulo2"/>
        <w:spacing w:before="0"/>
        <w:ind w:left="578" w:hanging="578"/>
        <w:rPr>
          <w:rFonts w:ascii="Geomanist" w:hAnsi="Geomanist"/>
          <w:color w:val="auto"/>
          <w:sz w:val="22"/>
          <w:szCs w:val="22"/>
        </w:rPr>
      </w:pPr>
      <w:r w:rsidRPr="00F1219F">
        <w:rPr>
          <w:rFonts w:ascii="Geomanist" w:hAnsi="Geomanist"/>
          <w:color w:val="auto"/>
          <w:sz w:val="22"/>
          <w:szCs w:val="22"/>
        </w:rPr>
        <w:t>Penas convencionales</w:t>
      </w:r>
    </w:p>
    <w:p w14:paraId="69CBA99C" w14:textId="77777777" w:rsidR="00F1219F" w:rsidRPr="00F1219F" w:rsidRDefault="00F1219F" w:rsidP="00F1219F">
      <w:pPr>
        <w:spacing w:line="264" w:lineRule="auto"/>
        <w:jc w:val="both"/>
        <w:rPr>
          <w:rFonts w:ascii="Geomanist" w:hAnsi="Geomanist" w:cs="Times New Roman"/>
          <w:sz w:val="22"/>
          <w:szCs w:val="22"/>
        </w:rPr>
      </w:pPr>
    </w:p>
    <w:p w14:paraId="4536A3B5"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De conformidad con lo establecido en el artículo 53 de la LAASSP y 95 del Reglamento de la LAASSP, en caso de que el proveedor no preste el servicio que le fue requerido dentro del plazo estipulado en cada una de las partidas adjudicadas, el Instituto procederá a aplicar la pena convencional a cargo de los proveedores por atraso en el cumplimiento de la prestación del servicio.</w:t>
      </w:r>
    </w:p>
    <w:p w14:paraId="5C332F05" w14:textId="77777777" w:rsidR="00F1219F" w:rsidRPr="00F1219F" w:rsidRDefault="00F1219F" w:rsidP="00F1219F">
      <w:pPr>
        <w:spacing w:line="264" w:lineRule="auto"/>
        <w:jc w:val="both"/>
        <w:rPr>
          <w:rFonts w:ascii="Geomanist" w:hAnsi="Geomanist" w:cs="Times New Roman"/>
          <w:sz w:val="22"/>
          <w:szCs w:val="22"/>
        </w:rPr>
      </w:pPr>
    </w:p>
    <w:p w14:paraId="329FAB9C"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 xml:space="preserve">En caso de que el proveedor no preste el servicio que le fue requerido dentro del plazo estipulado en cada una de las partidas 1, 2 y 3 adjudicadas, el Instituto procederá conforme a lo establecido en el numeral 5.5.8 de las POBALINES vigentes, a la aplicación de una pena convencional a cargo del proveedor del 0.2% (cero punto dos por ciento) por cada día hábil, sobre el valor total de lo incumplido respecto a la equivalencia que le corresponda conforme </w:t>
      </w:r>
      <w:r w:rsidRPr="00F1219F">
        <w:rPr>
          <w:rFonts w:ascii="Geomanist" w:hAnsi="Geomanist" w:cs="Times New Roman"/>
          <w:sz w:val="22"/>
          <w:szCs w:val="22"/>
        </w:rPr>
        <w:lastRenderedPageBreak/>
        <w:t>al monto total del contrato que corresponda a la partida adjudicada, sin considerar el IVA, por concepto de atraso en la prestación del servicio, la cual se calculará hasta que el proveedor cumpla con su obligación.</w:t>
      </w:r>
    </w:p>
    <w:p w14:paraId="32873C84" w14:textId="77777777" w:rsidR="00F1219F" w:rsidRPr="00F1219F" w:rsidRDefault="00F1219F" w:rsidP="00F1219F">
      <w:pPr>
        <w:spacing w:line="264" w:lineRule="auto"/>
        <w:jc w:val="both"/>
        <w:rPr>
          <w:rFonts w:ascii="Geomanist" w:hAnsi="Geomanist" w:cs="Times New Roman"/>
          <w:sz w:val="22"/>
          <w:szCs w:val="22"/>
        </w:rPr>
      </w:pPr>
    </w:p>
    <w:p w14:paraId="09295A51"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Por ningún concepto, las penas convencionales establecidas en el punto anterior podrán exceder del monto de la garantía de cumplimiento del contrato o de los contratos que se deriven del procedimiento de la contratación de las partidas 1 2 y 3, y se determinarán en función de los productos no entregados en la fecha establecida en el programa de trabajo establecido en el Anexo Técnico para cada partida. Determinándose que el máximo que se puede aplicar a un proveedor por concepto de penas convencionales es igual al monto de la garantía de cumplimiento del contrato, sin tomar en cuenta los porcentajes de reducción que se hubiere aplicado a dicha garantía conforme lo dispuesto por el artículo 86, segundo párrafo del Reglamento de la LAASSP.</w:t>
      </w:r>
    </w:p>
    <w:p w14:paraId="127A780C" w14:textId="77777777" w:rsidR="00F1219F" w:rsidRPr="00F1219F" w:rsidRDefault="00F1219F" w:rsidP="00F1219F">
      <w:pPr>
        <w:spacing w:line="264" w:lineRule="auto"/>
        <w:jc w:val="both"/>
        <w:rPr>
          <w:rFonts w:ascii="Geomanist" w:hAnsi="Geomanist" w:cs="Times New Roman"/>
          <w:sz w:val="22"/>
          <w:szCs w:val="22"/>
        </w:rPr>
      </w:pPr>
    </w:p>
    <w:p w14:paraId="7F5C14AF"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 xml:space="preserve">La penalización se calculará a partir de la fecha que se establezca en el plan de trabajo para cada una de las partidas para la entrega de los productos esperados que se establecen en el contrato o de los contratos que se formalicen para la prestación de los </w:t>
      </w:r>
      <w:proofErr w:type="gramStart"/>
      <w:r w:rsidRPr="00F1219F">
        <w:rPr>
          <w:rFonts w:ascii="Geomanist" w:hAnsi="Geomanist" w:cs="Times New Roman"/>
          <w:sz w:val="22"/>
          <w:szCs w:val="22"/>
        </w:rPr>
        <w:t>servicios ,</w:t>
      </w:r>
      <w:proofErr w:type="gramEnd"/>
      <w:r w:rsidRPr="00F1219F">
        <w:rPr>
          <w:rFonts w:ascii="Geomanist" w:hAnsi="Geomanist" w:cs="Times New Roman"/>
          <w:sz w:val="22"/>
          <w:szCs w:val="22"/>
        </w:rPr>
        <w:t xml:space="preserve"> para lo cual se debe considerar lo siguiente:</w:t>
      </w:r>
    </w:p>
    <w:p w14:paraId="0A9283D9" w14:textId="77777777" w:rsidR="00F1219F" w:rsidRPr="00F1219F" w:rsidRDefault="00F1219F" w:rsidP="00F1219F">
      <w:pPr>
        <w:spacing w:line="264" w:lineRule="auto"/>
        <w:jc w:val="both"/>
        <w:rPr>
          <w:rFonts w:ascii="Geomanist" w:hAnsi="Geomanist" w:cs="Times New Roman"/>
          <w:sz w:val="22"/>
          <w:szCs w:val="22"/>
        </w:rPr>
      </w:pPr>
    </w:p>
    <w:p w14:paraId="31D8E27E" w14:textId="77777777" w:rsidR="00F1219F" w:rsidRPr="00F1219F" w:rsidRDefault="00F1219F" w:rsidP="00F1219F">
      <w:pPr>
        <w:pStyle w:val="Prrafodelista"/>
        <w:numPr>
          <w:ilvl w:val="0"/>
          <w:numId w:val="44"/>
        </w:numPr>
        <w:spacing w:line="264" w:lineRule="auto"/>
        <w:jc w:val="both"/>
        <w:rPr>
          <w:rFonts w:ascii="Geomanist" w:hAnsi="Geomanist" w:cs="Times New Roman"/>
          <w:lang w:val="es-ES"/>
        </w:rPr>
      </w:pPr>
      <w:r w:rsidRPr="00F1219F">
        <w:rPr>
          <w:rFonts w:ascii="Geomanist" w:hAnsi="Geomanist" w:cs="Times New Roman"/>
          <w:lang w:val="es-ES"/>
        </w:rPr>
        <w:t>Se aplicará una pena cuando los productos esperados son entregados con atraso o los servicios inician con retraso, respecto de la fecha establecida para la entrega de los productos.</w:t>
      </w:r>
    </w:p>
    <w:p w14:paraId="6875BA43" w14:textId="77777777" w:rsidR="00F1219F" w:rsidRPr="00F1219F" w:rsidRDefault="00F1219F" w:rsidP="00F1219F">
      <w:pPr>
        <w:pStyle w:val="Prrafodelista"/>
        <w:numPr>
          <w:ilvl w:val="0"/>
          <w:numId w:val="44"/>
        </w:numPr>
        <w:spacing w:line="264" w:lineRule="auto"/>
        <w:jc w:val="both"/>
        <w:rPr>
          <w:rFonts w:ascii="Geomanist" w:hAnsi="Geomanist" w:cs="Times New Roman"/>
          <w:lang w:val="es-ES"/>
        </w:rPr>
      </w:pPr>
      <w:r w:rsidRPr="00F1219F">
        <w:rPr>
          <w:rFonts w:ascii="Geomanist" w:hAnsi="Geomanist" w:cs="Times New Roman"/>
          <w:lang w:val="es-ES"/>
        </w:rPr>
        <w:t>El periodo de penalización comienza a contar a partir del día siguiente en que concluye el plazo o fecha convenida para la entrega de los productos o para la iniciación de la prestación del servicio.</w:t>
      </w:r>
    </w:p>
    <w:p w14:paraId="077788EA" w14:textId="77777777" w:rsidR="00F1219F" w:rsidRPr="00F1219F" w:rsidRDefault="00F1219F" w:rsidP="00F1219F">
      <w:pPr>
        <w:pStyle w:val="Prrafodelista"/>
        <w:numPr>
          <w:ilvl w:val="0"/>
          <w:numId w:val="44"/>
        </w:numPr>
        <w:spacing w:after="0" w:line="264" w:lineRule="auto"/>
        <w:ind w:left="714" w:hanging="357"/>
        <w:contextualSpacing w:val="0"/>
        <w:jc w:val="both"/>
        <w:rPr>
          <w:rFonts w:ascii="Geomanist" w:hAnsi="Geomanist" w:cs="Times New Roman"/>
          <w:lang w:val="es-ES"/>
        </w:rPr>
      </w:pPr>
      <w:r w:rsidRPr="00F1219F">
        <w:rPr>
          <w:rFonts w:ascii="Geomanist" w:hAnsi="Geomanist" w:cs="Times New Roman"/>
          <w:lang w:val="es-ES"/>
        </w:rPr>
        <w:t>La penalización debe aplicarse desde el primer día de atraso y tendrá como límite el número de días que resulten al dividir el porcentaje de la garantía de cumplimiento del contrato de prestación de servicio que corresponda a la partida adjudicada, entre el porcentaje diario de penalización establecido.</w:t>
      </w:r>
    </w:p>
    <w:p w14:paraId="0FCC340E" w14:textId="77777777" w:rsidR="00F1219F" w:rsidRPr="00F1219F" w:rsidRDefault="00F1219F" w:rsidP="00F1219F">
      <w:pPr>
        <w:spacing w:line="264" w:lineRule="auto"/>
        <w:jc w:val="both"/>
        <w:rPr>
          <w:rFonts w:ascii="Geomanist" w:hAnsi="Geomanist" w:cs="Times New Roman"/>
          <w:sz w:val="22"/>
          <w:szCs w:val="22"/>
        </w:rPr>
      </w:pPr>
    </w:p>
    <w:p w14:paraId="27F5B5A9"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En el supuesto de que el incumplimiento del proveedor rebase la fecha límite máxima para la entrega total de los productos, por haber agotado el monto de la garantía de cumplimiento del contrato de prestación de servicio que corresponda a la partida adjudicada, la dependencia o entidad podrá iniciar el procedimiento de rescisión administrativa, de conformidad con lo previsto en el artículo 54 de la LAASSP.</w:t>
      </w:r>
    </w:p>
    <w:p w14:paraId="1846CD31" w14:textId="77777777" w:rsidR="00F1219F" w:rsidRPr="00F1219F" w:rsidRDefault="00F1219F" w:rsidP="00F1219F">
      <w:pPr>
        <w:spacing w:line="264" w:lineRule="auto"/>
        <w:jc w:val="both"/>
        <w:rPr>
          <w:rFonts w:ascii="Geomanist" w:hAnsi="Geomanist" w:cs="Times New Roman"/>
          <w:sz w:val="22"/>
          <w:szCs w:val="22"/>
        </w:rPr>
      </w:pPr>
    </w:p>
    <w:p w14:paraId="6F3A9E80"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Cabe señalar que la aplicación de penas convencionales se realiza conforme a las disposiciones vigentes y no se opone a ningún derecho humano o fundamental.</w:t>
      </w:r>
    </w:p>
    <w:p w14:paraId="36DF7C34" w14:textId="77777777" w:rsidR="00F1219F" w:rsidRPr="00F1219F" w:rsidRDefault="00F1219F" w:rsidP="00F1219F">
      <w:pPr>
        <w:spacing w:line="264" w:lineRule="auto"/>
        <w:jc w:val="both"/>
        <w:rPr>
          <w:rFonts w:ascii="Geomanist" w:hAnsi="Geomanist" w:cs="Times New Roman"/>
          <w:sz w:val="22"/>
          <w:szCs w:val="22"/>
        </w:rPr>
      </w:pPr>
    </w:p>
    <w:p w14:paraId="36AC995A" w14:textId="77777777" w:rsidR="00F1219F" w:rsidRPr="00F1219F" w:rsidRDefault="00F1219F" w:rsidP="00F1219F">
      <w:pPr>
        <w:pStyle w:val="Ttulo2"/>
        <w:spacing w:before="0"/>
        <w:ind w:left="578" w:hanging="578"/>
        <w:rPr>
          <w:rFonts w:ascii="Geomanist" w:hAnsi="Geomanist"/>
          <w:color w:val="auto"/>
          <w:sz w:val="22"/>
          <w:szCs w:val="22"/>
        </w:rPr>
      </w:pPr>
      <w:r w:rsidRPr="00F1219F">
        <w:rPr>
          <w:rFonts w:ascii="Geomanist" w:hAnsi="Geomanist"/>
          <w:color w:val="auto"/>
          <w:sz w:val="22"/>
          <w:szCs w:val="22"/>
        </w:rPr>
        <w:lastRenderedPageBreak/>
        <w:t>Deductivas</w:t>
      </w:r>
    </w:p>
    <w:p w14:paraId="1683EFF5" w14:textId="77777777" w:rsidR="00F1219F" w:rsidRPr="00F1219F" w:rsidRDefault="00F1219F" w:rsidP="00F1219F">
      <w:pPr>
        <w:spacing w:line="264" w:lineRule="auto"/>
        <w:jc w:val="both"/>
        <w:rPr>
          <w:rFonts w:ascii="Geomanist" w:eastAsia="Times New Roman" w:hAnsi="Geomanist" w:cs="Arial"/>
          <w:sz w:val="22"/>
          <w:szCs w:val="22"/>
        </w:rPr>
      </w:pPr>
    </w:p>
    <w:p w14:paraId="5E9950CF" w14:textId="77777777" w:rsidR="00F1219F" w:rsidRPr="00F1219F" w:rsidRDefault="00F1219F" w:rsidP="00F1219F">
      <w:pPr>
        <w:spacing w:line="264" w:lineRule="auto"/>
        <w:jc w:val="both"/>
        <w:rPr>
          <w:rFonts w:ascii="Geomanist" w:eastAsia="Times New Roman" w:hAnsi="Geomanist" w:cs="Times New Roman"/>
          <w:sz w:val="22"/>
          <w:szCs w:val="22"/>
        </w:rPr>
      </w:pPr>
      <w:r w:rsidRPr="00F1219F">
        <w:rPr>
          <w:rFonts w:ascii="Geomanist" w:eastAsia="Times New Roman" w:hAnsi="Geomanist" w:cs="Times New Roman"/>
          <w:sz w:val="22"/>
          <w:szCs w:val="22"/>
        </w:rPr>
        <w:t>La aplicación de las deductivas se realiza conforme a lo señalado en el artículo 53 bis de la LAASSP y 97 del Reglamento de la LAASSP. Las deductivas aplicarán en caso de incumplimiento parcial o deficiente en la entrega del servicio o de los productos establecidos.</w:t>
      </w:r>
    </w:p>
    <w:p w14:paraId="3ABE07FD" w14:textId="77777777" w:rsidR="00F1219F" w:rsidRPr="00F1219F" w:rsidRDefault="00F1219F" w:rsidP="00F1219F">
      <w:pPr>
        <w:spacing w:line="264" w:lineRule="auto"/>
        <w:jc w:val="both"/>
        <w:rPr>
          <w:rFonts w:ascii="Geomanist" w:eastAsia="Times New Roman" w:hAnsi="Geomanist" w:cs="Times New Roman"/>
          <w:sz w:val="22"/>
          <w:szCs w:val="22"/>
        </w:rPr>
      </w:pPr>
    </w:p>
    <w:p w14:paraId="2745593E" w14:textId="77777777" w:rsidR="00F1219F" w:rsidRPr="00F1219F" w:rsidRDefault="00F1219F" w:rsidP="00F1219F">
      <w:pPr>
        <w:spacing w:line="264" w:lineRule="auto"/>
        <w:jc w:val="both"/>
        <w:rPr>
          <w:rFonts w:ascii="Geomanist" w:eastAsia="Times New Roman" w:hAnsi="Geomanist" w:cs="Times New Roman"/>
          <w:sz w:val="22"/>
          <w:szCs w:val="22"/>
        </w:rPr>
      </w:pPr>
      <w:r w:rsidRPr="00F1219F">
        <w:rPr>
          <w:rFonts w:ascii="Geomanist" w:eastAsia="Times New Roman" w:hAnsi="Geomanist" w:cs="Times New Roman"/>
          <w:sz w:val="22"/>
          <w:szCs w:val="22"/>
        </w:rPr>
        <w:t>Las deducciones serán determinadas en función de los servicios prestados de manera parcial deficiente. Dichas deducciones deberán calcularse hasta la fecha en que materialmente se cumpla la obligación y sin que cada concepto de deducciones exceda a la parte proporcional de la garantía de cumplimiento que le corresponda del monto total del contrato de prestación de servicio que corresponda según la partida adjudicada. Los montos por deducir se deberán aplicar en la factura que el proveedor presente para su cobro, una vez que el Área requirente tenga cuantificada la deducción correspondiente.</w:t>
      </w:r>
    </w:p>
    <w:p w14:paraId="2A7D5B51" w14:textId="77777777" w:rsidR="00F1219F" w:rsidRPr="00F1219F" w:rsidRDefault="00F1219F" w:rsidP="00F1219F">
      <w:pPr>
        <w:spacing w:line="264" w:lineRule="auto"/>
        <w:jc w:val="both"/>
        <w:rPr>
          <w:rFonts w:ascii="Geomanist" w:eastAsia="Times New Roman" w:hAnsi="Geomanist" w:cs="Times New Roman"/>
          <w:sz w:val="22"/>
          <w:szCs w:val="22"/>
        </w:rPr>
      </w:pPr>
    </w:p>
    <w:p w14:paraId="26250A52" w14:textId="77777777" w:rsidR="00F1219F" w:rsidRPr="00F1219F" w:rsidRDefault="00F1219F" w:rsidP="00F1219F">
      <w:pPr>
        <w:spacing w:line="264" w:lineRule="auto"/>
        <w:jc w:val="both"/>
        <w:rPr>
          <w:rFonts w:ascii="Geomanist" w:eastAsia="Times New Roman" w:hAnsi="Geomanist" w:cs="Arial"/>
          <w:sz w:val="22"/>
          <w:szCs w:val="22"/>
        </w:rPr>
      </w:pPr>
      <w:r w:rsidRPr="00F1219F">
        <w:rPr>
          <w:rFonts w:ascii="Geomanist" w:eastAsia="Times New Roman" w:hAnsi="Geomanist" w:cs="Arial"/>
          <w:sz w:val="22"/>
          <w:szCs w:val="22"/>
        </w:rPr>
        <w:t>La aplicación de la deductiva será conforme a lo siguiente:</w:t>
      </w:r>
    </w:p>
    <w:p w14:paraId="7609A1BC" w14:textId="77777777" w:rsidR="00F1219F" w:rsidRPr="00F1219F" w:rsidRDefault="00F1219F" w:rsidP="00F1219F">
      <w:pPr>
        <w:spacing w:line="264" w:lineRule="auto"/>
        <w:jc w:val="both"/>
        <w:rPr>
          <w:rFonts w:ascii="Geomanist" w:eastAsia="Times New Roman" w:hAnsi="Geomanist"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85"/>
        <w:gridCol w:w="1984"/>
        <w:gridCol w:w="2693"/>
        <w:gridCol w:w="1701"/>
      </w:tblGrid>
      <w:tr w:rsidR="00F1219F" w:rsidRPr="00F1219F" w14:paraId="33594622" w14:textId="77777777" w:rsidTr="00F1219F">
        <w:trPr>
          <w:trHeight w:val="363"/>
          <w:tblHeader/>
        </w:trPr>
        <w:tc>
          <w:tcPr>
            <w:tcW w:w="1271" w:type="dxa"/>
            <w:vAlign w:val="center"/>
          </w:tcPr>
          <w:p w14:paraId="6A8EA11B" w14:textId="77777777" w:rsidR="00F1219F" w:rsidRPr="00F1219F" w:rsidRDefault="00F1219F" w:rsidP="00F1219F">
            <w:pPr>
              <w:autoSpaceDE w:val="0"/>
              <w:autoSpaceDN w:val="0"/>
              <w:adjustRightInd w:val="0"/>
              <w:spacing w:after="120" w:line="264" w:lineRule="auto"/>
              <w:jc w:val="center"/>
              <w:rPr>
                <w:rFonts w:ascii="Geomanist" w:eastAsia="Times New Roman" w:hAnsi="Geomanist" w:cs="Arial"/>
                <w:color w:val="000000"/>
                <w:sz w:val="18"/>
                <w:szCs w:val="18"/>
                <w:lang w:val="es-MX"/>
              </w:rPr>
            </w:pPr>
            <w:r w:rsidRPr="00F1219F">
              <w:rPr>
                <w:rFonts w:ascii="Geomanist" w:eastAsia="Times New Roman" w:hAnsi="Geomanist" w:cs="Arial"/>
                <w:b/>
                <w:bCs/>
                <w:color w:val="000000"/>
                <w:sz w:val="18"/>
                <w:szCs w:val="18"/>
                <w:lang w:val="es-MX"/>
              </w:rPr>
              <w:t>Concepto u obligación</w:t>
            </w:r>
          </w:p>
        </w:tc>
        <w:tc>
          <w:tcPr>
            <w:tcW w:w="1985" w:type="dxa"/>
            <w:vAlign w:val="center"/>
          </w:tcPr>
          <w:p w14:paraId="7CC773BA" w14:textId="77777777" w:rsidR="00F1219F" w:rsidRPr="00F1219F" w:rsidRDefault="00F1219F" w:rsidP="00F1219F">
            <w:pPr>
              <w:autoSpaceDE w:val="0"/>
              <w:autoSpaceDN w:val="0"/>
              <w:adjustRightInd w:val="0"/>
              <w:spacing w:after="120" w:line="264" w:lineRule="auto"/>
              <w:jc w:val="center"/>
              <w:rPr>
                <w:rFonts w:ascii="Geomanist" w:eastAsia="Times New Roman" w:hAnsi="Geomanist" w:cs="Arial"/>
                <w:color w:val="000000"/>
                <w:sz w:val="18"/>
                <w:szCs w:val="18"/>
                <w:lang w:val="es-MX"/>
              </w:rPr>
            </w:pPr>
            <w:r w:rsidRPr="00F1219F">
              <w:rPr>
                <w:rFonts w:ascii="Geomanist" w:eastAsia="Times New Roman" w:hAnsi="Geomanist" w:cs="Arial"/>
                <w:b/>
                <w:bCs/>
                <w:color w:val="000000"/>
                <w:sz w:val="18"/>
                <w:szCs w:val="18"/>
                <w:lang w:val="es-MX"/>
              </w:rPr>
              <w:t>Nivel de servicio</w:t>
            </w:r>
          </w:p>
        </w:tc>
        <w:tc>
          <w:tcPr>
            <w:tcW w:w="1984" w:type="dxa"/>
            <w:vAlign w:val="center"/>
          </w:tcPr>
          <w:p w14:paraId="0AAFAE7E" w14:textId="77777777" w:rsidR="00F1219F" w:rsidRPr="00F1219F" w:rsidRDefault="00F1219F" w:rsidP="00F1219F">
            <w:pPr>
              <w:autoSpaceDE w:val="0"/>
              <w:autoSpaceDN w:val="0"/>
              <w:adjustRightInd w:val="0"/>
              <w:spacing w:after="120" w:line="264" w:lineRule="auto"/>
              <w:jc w:val="center"/>
              <w:rPr>
                <w:rFonts w:ascii="Geomanist" w:eastAsia="Times New Roman" w:hAnsi="Geomanist" w:cs="Arial"/>
                <w:color w:val="000000"/>
                <w:sz w:val="18"/>
                <w:szCs w:val="18"/>
                <w:lang w:val="es-MX"/>
              </w:rPr>
            </w:pPr>
            <w:r w:rsidRPr="00F1219F">
              <w:rPr>
                <w:rFonts w:ascii="Geomanist" w:eastAsia="Times New Roman" w:hAnsi="Geomanist" w:cs="Arial"/>
                <w:b/>
                <w:bCs/>
                <w:color w:val="000000"/>
                <w:sz w:val="18"/>
                <w:szCs w:val="18"/>
                <w:lang w:val="es-MX"/>
              </w:rPr>
              <w:t>Unidad de medida</w:t>
            </w:r>
          </w:p>
        </w:tc>
        <w:tc>
          <w:tcPr>
            <w:tcW w:w="2693" w:type="dxa"/>
            <w:vAlign w:val="center"/>
          </w:tcPr>
          <w:p w14:paraId="10C5DE6F" w14:textId="77777777" w:rsidR="00F1219F" w:rsidRPr="00F1219F" w:rsidRDefault="00F1219F" w:rsidP="00F1219F">
            <w:pPr>
              <w:autoSpaceDE w:val="0"/>
              <w:autoSpaceDN w:val="0"/>
              <w:adjustRightInd w:val="0"/>
              <w:spacing w:after="120" w:line="264" w:lineRule="auto"/>
              <w:jc w:val="center"/>
              <w:rPr>
                <w:rFonts w:ascii="Geomanist" w:eastAsia="Times New Roman" w:hAnsi="Geomanist" w:cs="Arial"/>
                <w:color w:val="000000"/>
                <w:sz w:val="18"/>
                <w:szCs w:val="18"/>
                <w:lang w:val="es-MX"/>
              </w:rPr>
            </w:pPr>
            <w:r w:rsidRPr="00F1219F">
              <w:rPr>
                <w:rFonts w:ascii="Geomanist" w:eastAsia="Times New Roman" w:hAnsi="Geomanist" w:cs="Arial"/>
                <w:b/>
                <w:bCs/>
                <w:color w:val="000000"/>
                <w:sz w:val="18"/>
                <w:szCs w:val="18"/>
                <w:lang w:val="es-MX"/>
              </w:rPr>
              <w:t>Deducción</w:t>
            </w:r>
          </w:p>
        </w:tc>
        <w:tc>
          <w:tcPr>
            <w:tcW w:w="1701" w:type="dxa"/>
            <w:vAlign w:val="center"/>
          </w:tcPr>
          <w:p w14:paraId="11F306D1" w14:textId="77777777" w:rsidR="00F1219F" w:rsidRPr="00F1219F" w:rsidRDefault="00F1219F" w:rsidP="00F1219F">
            <w:pPr>
              <w:autoSpaceDE w:val="0"/>
              <w:autoSpaceDN w:val="0"/>
              <w:adjustRightInd w:val="0"/>
              <w:spacing w:after="120" w:line="264" w:lineRule="auto"/>
              <w:jc w:val="center"/>
              <w:rPr>
                <w:rFonts w:ascii="Geomanist" w:eastAsia="Times New Roman" w:hAnsi="Geomanist" w:cs="Arial"/>
                <w:color w:val="000000"/>
                <w:sz w:val="18"/>
                <w:szCs w:val="18"/>
                <w:lang w:val="es-MX"/>
              </w:rPr>
            </w:pPr>
            <w:r w:rsidRPr="00F1219F">
              <w:rPr>
                <w:rFonts w:ascii="Geomanist" w:eastAsia="Times New Roman" w:hAnsi="Geomanist" w:cs="Arial"/>
                <w:b/>
                <w:bCs/>
                <w:color w:val="000000"/>
                <w:sz w:val="18"/>
                <w:szCs w:val="18"/>
                <w:lang w:val="es-MX"/>
              </w:rPr>
              <w:t>Límites de incumplimiento</w:t>
            </w:r>
          </w:p>
        </w:tc>
      </w:tr>
      <w:tr w:rsidR="00F1219F" w:rsidRPr="00F1219F" w14:paraId="6284605A" w14:textId="77777777" w:rsidTr="00F1219F">
        <w:trPr>
          <w:trHeight w:val="2782"/>
        </w:trPr>
        <w:tc>
          <w:tcPr>
            <w:tcW w:w="1271" w:type="dxa"/>
          </w:tcPr>
          <w:p w14:paraId="02E467C3" w14:textId="77777777" w:rsidR="00F1219F" w:rsidRPr="00F1219F" w:rsidRDefault="00F1219F" w:rsidP="00F1219F">
            <w:pPr>
              <w:autoSpaceDE w:val="0"/>
              <w:autoSpaceDN w:val="0"/>
              <w:adjustRightInd w:val="0"/>
              <w:spacing w:after="120" w:line="264" w:lineRule="auto"/>
              <w:ind w:left="-113" w:right="-139"/>
              <w:jc w:val="both"/>
              <w:rPr>
                <w:rFonts w:ascii="Geomanist" w:eastAsia="Times New Roman" w:hAnsi="Geomanist" w:cs="Arial"/>
                <w:color w:val="000000"/>
                <w:sz w:val="18"/>
                <w:szCs w:val="18"/>
                <w:lang w:val="es-MX"/>
              </w:rPr>
            </w:pPr>
            <w:r w:rsidRPr="00F1219F">
              <w:rPr>
                <w:rFonts w:ascii="Geomanist" w:eastAsia="Times New Roman" w:hAnsi="Geomanist" w:cs="Times New Roman"/>
                <w:b/>
                <w:sz w:val="18"/>
                <w:szCs w:val="18"/>
                <w:lang w:val="es-MX"/>
              </w:rPr>
              <w:t>Partidas: 1, 2 y 3</w:t>
            </w:r>
          </w:p>
        </w:tc>
        <w:tc>
          <w:tcPr>
            <w:tcW w:w="1985" w:type="dxa"/>
            <w:vAlign w:val="center"/>
          </w:tcPr>
          <w:p w14:paraId="0F6D5C6A" w14:textId="77777777" w:rsidR="00F1219F" w:rsidRPr="00F1219F" w:rsidRDefault="00F1219F" w:rsidP="00F1219F">
            <w:pPr>
              <w:autoSpaceDE w:val="0"/>
              <w:autoSpaceDN w:val="0"/>
              <w:adjustRightInd w:val="0"/>
              <w:spacing w:after="120" w:line="264" w:lineRule="auto"/>
              <w:jc w:val="center"/>
              <w:rPr>
                <w:rFonts w:ascii="Geomanist" w:eastAsia="Times New Roman" w:hAnsi="Geomanist" w:cs="Arial"/>
                <w:color w:val="000000"/>
                <w:sz w:val="18"/>
                <w:szCs w:val="18"/>
                <w:lang w:val="es-MX"/>
              </w:rPr>
            </w:pPr>
            <w:r w:rsidRPr="00F1219F">
              <w:rPr>
                <w:rFonts w:ascii="Geomanist" w:eastAsia="Times New Roman" w:hAnsi="Geomanist" w:cs="Arial"/>
                <w:bCs/>
                <w:color w:val="000000" w:themeColor="text1"/>
                <w:sz w:val="18"/>
                <w:szCs w:val="18"/>
              </w:rPr>
              <w:t>El licitante</w:t>
            </w:r>
            <w:r w:rsidRPr="00F1219F">
              <w:rPr>
                <w:rFonts w:ascii="Geomanist" w:eastAsia="Times New Roman" w:hAnsi="Geomanist" w:cs="Arial"/>
                <w:color w:val="000000" w:themeColor="text1"/>
                <w:sz w:val="18"/>
                <w:szCs w:val="18"/>
              </w:rPr>
              <w:t xml:space="preserve"> adjudicado </w:t>
            </w:r>
            <w:r w:rsidRPr="00F1219F">
              <w:rPr>
                <w:rFonts w:ascii="Geomanist" w:eastAsia="Times New Roman" w:hAnsi="Geomanist" w:cs="Arial"/>
                <w:color w:val="000000" w:themeColor="text1"/>
                <w:sz w:val="18"/>
                <w:szCs w:val="18"/>
                <w:lang w:val="es-MX"/>
              </w:rPr>
              <w:t>deberá prestar el servicio conforme a lo que se establece en el Apéndice 1 (UNO) del Anexo Técnico que forma parte del Anexo Número 1 (UNO) de la convocatoria</w:t>
            </w:r>
            <w:r w:rsidRPr="00F1219F">
              <w:rPr>
                <w:rFonts w:ascii="Geomanist" w:eastAsia="Times New Roman" w:hAnsi="Geomanist" w:cs="Arial"/>
                <w:color w:val="000000"/>
                <w:sz w:val="18"/>
                <w:szCs w:val="18"/>
                <w:lang w:val="es-MX"/>
              </w:rPr>
              <w:t>.</w:t>
            </w:r>
          </w:p>
        </w:tc>
        <w:tc>
          <w:tcPr>
            <w:tcW w:w="1984" w:type="dxa"/>
            <w:vAlign w:val="center"/>
          </w:tcPr>
          <w:p w14:paraId="717F074E" w14:textId="77777777" w:rsidR="00F1219F" w:rsidRPr="00F1219F" w:rsidRDefault="00F1219F" w:rsidP="00F1219F">
            <w:pPr>
              <w:autoSpaceDE w:val="0"/>
              <w:autoSpaceDN w:val="0"/>
              <w:adjustRightInd w:val="0"/>
              <w:spacing w:after="120" w:line="264" w:lineRule="auto"/>
              <w:jc w:val="center"/>
              <w:rPr>
                <w:rFonts w:ascii="Geomanist" w:eastAsia="Times New Roman" w:hAnsi="Geomanist" w:cs="Arial"/>
                <w:color w:val="000000" w:themeColor="text1"/>
                <w:sz w:val="18"/>
                <w:szCs w:val="18"/>
                <w:lang w:val="es-MX"/>
              </w:rPr>
            </w:pPr>
            <w:r w:rsidRPr="00F1219F">
              <w:rPr>
                <w:rFonts w:ascii="Geomanist" w:eastAsia="Times New Roman" w:hAnsi="Geomanist" w:cs="Arial"/>
                <w:color w:val="000000" w:themeColor="text1"/>
                <w:sz w:val="18"/>
                <w:szCs w:val="18"/>
                <w:lang w:val="es-MX"/>
              </w:rPr>
              <w:t>En caso de que el</w:t>
            </w:r>
            <w:r w:rsidRPr="00F1219F">
              <w:rPr>
                <w:rFonts w:ascii="Geomanist" w:eastAsia="Times New Roman" w:hAnsi="Geomanist" w:cs="Arial"/>
                <w:bCs/>
                <w:color w:val="000000" w:themeColor="text1"/>
                <w:sz w:val="18"/>
                <w:szCs w:val="18"/>
              </w:rPr>
              <w:t xml:space="preserve"> licitante</w:t>
            </w:r>
            <w:r w:rsidRPr="00F1219F">
              <w:rPr>
                <w:rFonts w:ascii="Geomanist" w:eastAsia="Times New Roman" w:hAnsi="Geomanist" w:cs="Arial"/>
                <w:color w:val="000000" w:themeColor="text1"/>
                <w:sz w:val="18"/>
                <w:szCs w:val="18"/>
              </w:rPr>
              <w:t xml:space="preserve"> adjudicado</w:t>
            </w:r>
            <w:r w:rsidRPr="00F1219F">
              <w:rPr>
                <w:rFonts w:ascii="Geomanist" w:eastAsia="Times New Roman" w:hAnsi="Geomanist" w:cs="Arial"/>
                <w:color w:val="000000" w:themeColor="text1"/>
                <w:sz w:val="18"/>
                <w:szCs w:val="18"/>
                <w:lang w:val="es-MX"/>
              </w:rPr>
              <w:t xml:space="preserve"> entregue de forma parcial o deficiente los productos</w:t>
            </w:r>
            <w:r w:rsidRPr="00F1219F">
              <w:rPr>
                <w:rFonts w:ascii="Geomanist" w:eastAsia="Times New Roman" w:hAnsi="Geomanist" w:cs="Arial"/>
                <w:bCs/>
                <w:color w:val="000000" w:themeColor="text1"/>
                <w:sz w:val="18"/>
                <w:szCs w:val="18"/>
                <w:lang w:val="es-MX"/>
              </w:rPr>
              <w:t>,</w:t>
            </w:r>
            <w:r w:rsidRPr="00F1219F">
              <w:rPr>
                <w:rFonts w:ascii="Geomanist" w:eastAsia="Times New Roman" w:hAnsi="Geomanist" w:cs="Arial"/>
                <w:color w:val="000000" w:themeColor="text1"/>
                <w:sz w:val="18"/>
                <w:szCs w:val="18"/>
                <w:lang w:val="es-MX"/>
              </w:rPr>
              <w:t xml:space="preserve"> por no cumplir con todos los elementos requeridos que se determinan en el Anexo Técnico de la partida adjudicada.</w:t>
            </w:r>
          </w:p>
        </w:tc>
        <w:tc>
          <w:tcPr>
            <w:tcW w:w="2693" w:type="dxa"/>
            <w:vAlign w:val="center"/>
          </w:tcPr>
          <w:p w14:paraId="3148200A" w14:textId="77777777" w:rsidR="00F1219F" w:rsidRPr="00F1219F" w:rsidRDefault="00F1219F" w:rsidP="00F1219F">
            <w:pPr>
              <w:autoSpaceDE w:val="0"/>
              <w:autoSpaceDN w:val="0"/>
              <w:adjustRightInd w:val="0"/>
              <w:spacing w:after="120" w:line="264" w:lineRule="auto"/>
              <w:jc w:val="center"/>
              <w:rPr>
                <w:rFonts w:ascii="Geomanist" w:eastAsia="Times New Roman" w:hAnsi="Geomanist" w:cs="Arial"/>
                <w:color w:val="000000" w:themeColor="text1"/>
                <w:sz w:val="18"/>
                <w:szCs w:val="18"/>
                <w:lang w:val="es-MX"/>
              </w:rPr>
            </w:pPr>
            <w:r w:rsidRPr="00F1219F">
              <w:rPr>
                <w:rFonts w:ascii="Geomanist" w:eastAsia="Times New Roman" w:hAnsi="Geomanist" w:cs="Arial"/>
                <w:color w:val="000000" w:themeColor="text1"/>
                <w:sz w:val="18"/>
                <w:szCs w:val="18"/>
              </w:rPr>
              <w:t xml:space="preserve">Se aplicará una deductiva del 1% por cada día hábil sobre el monto total de la prestación de los servicios (sin considerar el impuesto al valor agregado), por el incumplimiento parcial o deficiente del servicio correspondiente a la partida adjudicada, hasta que se cumpla con la obligación conforme a los términos y requisitos establecidos. </w:t>
            </w:r>
          </w:p>
        </w:tc>
        <w:tc>
          <w:tcPr>
            <w:tcW w:w="1701" w:type="dxa"/>
            <w:vAlign w:val="center"/>
          </w:tcPr>
          <w:p w14:paraId="3701FE45" w14:textId="77777777" w:rsidR="00F1219F" w:rsidRPr="00F1219F" w:rsidRDefault="00F1219F" w:rsidP="00F1219F">
            <w:pPr>
              <w:autoSpaceDE w:val="0"/>
              <w:autoSpaceDN w:val="0"/>
              <w:adjustRightInd w:val="0"/>
              <w:spacing w:after="120" w:line="264" w:lineRule="auto"/>
              <w:jc w:val="center"/>
              <w:rPr>
                <w:rFonts w:ascii="Geomanist" w:eastAsia="Times New Roman" w:hAnsi="Geomanist" w:cs="Arial"/>
                <w:color w:val="000000"/>
                <w:sz w:val="18"/>
                <w:szCs w:val="18"/>
                <w:lang w:val="es-MX"/>
              </w:rPr>
            </w:pPr>
            <w:r w:rsidRPr="00F1219F">
              <w:rPr>
                <w:rFonts w:ascii="Geomanist" w:eastAsia="Times New Roman" w:hAnsi="Geomanist" w:cs="Arial"/>
                <w:color w:val="000000"/>
                <w:sz w:val="18"/>
                <w:szCs w:val="18"/>
                <w:lang w:val="es-MX"/>
              </w:rPr>
              <w:t>Será hasta por el monto de la garantía de cumplimiento.</w:t>
            </w:r>
          </w:p>
        </w:tc>
      </w:tr>
    </w:tbl>
    <w:p w14:paraId="0B713AE2" w14:textId="77777777" w:rsidR="00F1219F" w:rsidRPr="00F1219F" w:rsidRDefault="00F1219F" w:rsidP="00F1219F">
      <w:pPr>
        <w:spacing w:line="264" w:lineRule="auto"/>
        <w:contextualSpacing/>
        <w:jc w:val="both"/>
        <w:rPr>
          <w:rFonts w:ascii="Geomanist" w:eastAsia="Times New Roman" w:hAnsi="Geomanist" w:cs="Arial"/>
          <w:sz w:val="22"/>
          <w:szCs w:val="22"/>
          <w:lang w:val="es-MX"/>
        </w:rPr>
      </w:pPr>
    </w:p>
    <w:p w14:paraId="11ECAFF2" w14:textId="77777777" w:rsidR="00F1219F" w:rsidRPr="00F1219F" w:rsidRDefault="00F1219F" w:rsidP="00F1219F">
      <w:pPr>
        <w:pStyle w:val="Ttulo2"/>
        <w:spacing w:before="0" w:line="264" w:lineRule="auto"/>
        <w:rPr>
          <w:rFonts w:ascii="Geomanist" w:hAnsi="Geomanist"/>
          <w:color w:val="auto"/>
          <w:sz w:val="22"/>
          <w:szCs w:val="22"/>
        </w:rPr>
      </w:pPr>
      <w:r w:rsidRPr="00F1219F">
        <w:rPr>
          <w:rFonts w:ascii="Geomanist" w:hAnsi="Geomanist"/>
          <w:color w:val="auto"/>
          <w:sz w:val="22"/>
          <w:szCs w:val="22"/>
        </w:rPr>
        <w:t>Cálculo</w:t>
      </w:r>
    </w:p>
    <w:p w14:paraId="40268119" w14:textId="77777777" w:rsidR="00F1219F" w:rsidRPr="00F1219F" w:rsidRDefault="00F1219F" w:rsidP="00F1219F">
      <w:pPr>
        <w:spacing w:line="264" w:lineRule="auto"/>
        <w:jc w:val="both"/>
        <w:rPr>
          <w:rFonts w:ascii="Geomanist" w:eastAsia="Times New Roman" w:hAnsi="Geomanist" w:cs="Arial"/>
          <w:sz w:val="22"/>
          <w:szCs w:val="22"/>
        </w:rPr>
      </w:pPr>
    </w:p>
    <w:p w14:paraId="2033800A" w14:textId="2BCCF852" w:rsidR="00F1219F" w:rsidRPr="00F1219F" w:rsidRDefault="00F1219F" w:rsidP="00F1219F">
      <w:pPr>
        <w:spacing w:line="264" w:lineRule="auto"/>
        <w:jc w:val="both"/>
        <w:rPr>
          <w:rFonts w:ascii="Geomanist" w:eastAsia="Times New Roman" w:hAnsi="Geomanist" w:cs="Arial"/>
          <w:sz w:val="22"/>
          <w:szCs w:val="22"/>
        </w:rPr>
      </w:pPr>
      <w:r w:rsidRPr="00F1219F">
        <w:rPr>
          <w:rFonts w:ascii="Geomanist" w:eastAsia="Times New Roman" w:hAnsi="Geomanist" w:cs="Arial"/>
          <w:sz w:val="22"/>
          <w:szCs w:val="22"/>
        </w:rPr>
        <w:t>En ningún caso se autorizará el pago de los servicios de consultoría actuarial y financiera</w:t>
      </w:r>
      <w:r w:rsidR="004A15D2">
        <w:rPr>
          <w:rFonts w:ascii="Geomanist" w:eastAsia="Times New Roman" w:hAnsi="Geomanist" w:cs="Arial"/>
          <w:sz w:val="22"/>
          <w:szCs w:val="22"/>
        </w:rPr>
        <w:t xml:space="preserve"> con corte al 31 de diciembre de 2024</w:t>
      </w:r>
      <w:r w:rsidRPr="00F1219F">
        <w:rPr>
          <w:rFonts w:ascii="Geomanist" w:eastAsia="Times New Roman" w:hAnsi="Geomanist" w:cs="Arial"/>
          <w:sz w:val="22"/>
          <w:szCs w:val="22"/>
        </w:rPr>
        <w:t xml:space="preserve"> si no se ha determinado, calculado y notificado a</w:t>
      </w:r>
      <w:r w:rsidRPr="00F1219F">
        <w:rPr>
          <w:rFonts w:ascii="Geomanist" w:eastAsia="Times New Roman" w:hAnsi="Geomanist" w:cs="Arial"/>
          <w:bCs/>
          <w:sz w:val="22"/>
          <w:szCs w:val="22"/>
        </w:rPr>
        <w:t>l licitante</w:t>
      </w:r>
      <w:r w:rsidRPr="00F1219F">
        <w:rPr>
          <w:rFonts w:ascii="Geomanist" w:eastAsia="Times New Roman" w:hAnsi="Geomanist" w:cs="Arial"/>
          <w:sz w:val="22"/>
          <w:szCs w:val="22"/>
        </w:rPr>
        <w:t xml:space="preserve"> adjudicado de cada partida objeto de la contratación, las penas convencionales y deductivas aplicadas, en términos de lo dispuesto en el contrato </w:t>
      </w:r>
      <w:r w:rsidRPr="00F1219F">
        <w:rPr>
          <w:rFonts w:ascii="Geomanist" w:hAnsi="Geomanist" w:cs="Times New Roman"/>
          <w:sz w:val="22"/>
          <w:szCs w:val="22"/>
        </w:rPr>
        <w:t>de prestación de servicio que corresponda a la partida adjudicada</w:t>
      </w:r>
      <w:r w:rsidRPr="00F1219F">
        <w:rPr>
          <w:rFonts w:ascii="Geomanist" w:eastAsia="Times New Roman" w:hAnsi="Geomanist" w:cs="Arial"/>
          <w:sz w:val="22"/>
          <w:szCs w:val="22"/>
        </w:rPr>
        <w:t xml:space="preserve">, así como su registro y validación en el Sistema PREI </w:t>
      </w:r>
      <w:proofErr w:type="spellStart"/>
      <w:r w:rsidRPr="00F1219F">
        <w:rPr>
          <w:rFonts w:ascii="Geomanist" w:eastAsia="Times New Roman" w:hAnsi="Geomanist" w:cs="Arial"/>
          <w:sz w:val="22"/>
          <w:szCs w:val="22"/>
        </w:rPr>
        <w:t>Millenium</w:t>
      </w:r>
      <w:proofErr w:type="spellEnd"/>
      <w:r w:rsidRPr="00F1219F">
        <w:rPr>
          <w:rFonts w:ascii="Geomanist" w:eastAsia="Times New Roman" w:hAnsi="Geomanist" w:cs="Arial"/>
          <w:sz w:val="22"/>
          <w:szCs w:val="22"/>
        </w:rPr>
        <w:t>.</w:t>
      </w:r>
    </w:p>
    <w:p w14:paraId="72C3BEF2" w14:textId="77777777" w:rsidR="00F1219F" w:rsidRPr="00F1219F" w:rsidRDefault="00F1219F" w:rsidP="00F1219F">
      <w:pPr>
        <w:spacing w:line="264" w:lineRule="auto"/>
        <w:contextualSpacing/>
        <w:jc w:val="both"/>
        <w:rPr>
          <w:rFonts w:ascii="Geomanist" w:eastAsia="Times New Roman" w:hAnsi="Geomanist" w:cs="Arial"/>
          <w:sz w:val="22"/>
          <w:szCs w:val="22"/>
        </w:rPr>
      </w:pPr>
    </w:p>
    <w:p w14:paraId="5A813669"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sz w:val="22"/>
          <w:szCs w:val="22"/>
        </w:rPr>
        <w:lastRenderedPageBreak/>
        <w:t xml:space="preserve">En caso de ser aplicable una pena convencional y/o deducciones, el pago de los servicios quedará condicionado proporcionalmente al pago que el proveedor deba efectuar por los conceptos antes señalados. En ambos casos, el IMSS realizará las retenciones correspondientes sobre el CFDI que se presente para pago. En el entendido de que en el supuesto de que sea rescindido el contrato </w:t>
      </w:r>
      <w:r w:rsidRPr="00F1219F">
        <w:rPr>
          <w:rFonts w:ascii="Geomanist" w:hAnsi="Geomanist" w:cs="Times New Roman"/>
          <w:sz w:val="22"/>
          <w:szCs w:val="22"/>
        </w:rPr>
        <w:t>de prestación de servicio que corresponda a la partida adjudicada</w:t>
      </w:r>
      <w:r w:rsidRPr="00F1219F">
        <w:rPr>
          <w:rFonts w:ascii="Geomanist" w:hAnsi="Geomanist"/>
          <w:sz w:val="22"/>
          <w:szCs w:val="22"/>
        </w:rPr>
        <w:t xml:space="preserve">, no procederá el cobro de dichas penalizaciones, ni la contabilización de </w:t>
      </w:r>
      <w:proofErr w:type="gramStart"/>
      <w:r w:rsidRPr="00F1219F">
        <w:rPr>
          <w:rFonts w:ascii="Geomanist" w:hAnsi="Geomanist"/>
          <w:sz w:val="22"/>
          <w:szCs w:val="22"/>
        </w:rPr>
        <w:t>las mismas</w:t>
      </w:r>
      <w:proofErr w:type="gramEnd"/>
      <w:r w:rsidRPr="00F1219F">
        <w:rPr>
          <w:rFonts w:ascii="Geomanist" w:hAnsi="Geomanist"/>
          <w:sz w:val="22"/>
          <w:szCs w:val="22"/>
        </w:rPr>
        <w:t xml:space="preserve"> para hacer efectiva la garantía de cumplimiento, de acuerdo con lo establecido por el artículo 95 del RLAASSP. Lo anterior </w:t>
      </w:r>
      <w:r w:rsidRPr="00F1219F">
        <w:rPr>
          <w:rFonts w:ascii="Geomanist" w:hAnsi="Geomanist" w:cs="Times New Roman"/>
          <w:sz w:val="22"/>
          <w:szCs w:val="22"/>
        </w:rPr>
        <w:t>conforme a lo que se establece en el numeral 5.5.1.1 inciso c de las POBALINES.</w:t>
      </w:r>
    </w:p>
    <w:p w14:paraId="2A113496" w14:textId="77777777" w:rsidR="00F1219F" w:rsidRPr="00F1219F" w:rsidRDefault="00F1219F" w:rsidP="00F1219F">
      <w:pPr>
        <w:spacing w:line="264" w:lineRule="auto"/>
        <w:jc w:val="both"/>
        <w:rPr>
          <w:rFonts w:ascii="Geomanist" w:hAnsi="Geomanist"/>
          <w:sz w:val="22"/>
          <w:szCs w:val="22"/>
        </w:rPr>
      </w:pPr>
    </w:p>
    <w:p w14:paraId="711B1B2E" w14:textId="77777777" w:rsidR="00F1219F" w:rsidRPr="00F1219F" w:rsidRDefault="00F1219F" w:rsidP="00F1219F">
      <w:pPr>
        <w:spacing w:line="264" w:lineRule="auto"/>
        <w:jc w:val="both"/>
        <w:rPr>
          <w:rFonts w:ascii="Geomanist" w:hAnsi="Geomanist"/>
          <w:sz w:val="22"/>
          <w:szCs w:val="22"/>
        </w:rPr>
      </w:pPr>
      <w:r w:rsidRPr="00F1219F">
        <w:rPr>
          <w:rFonts w:ascii="Geomanist" w:hAnsi="Geomanist"/>
          <w:sz w:val="22"/>
          <w:szCs w:val="22"/>
        </w:rPr>
        <w:t xml:space="preserve">Asimismo, conforme a lo establecido </w:t>
      </w:r>
      <w:r w:rsidRPr="00F1219F">
        <w:rPr>
          <w:rFonts w:ascii="Geomanist" w:hAnsi="Geomanist" w:cs="Times New Roman"/>
          <w:sz w:val="22"/>
          <w:szCs w:val="22"/>
        </w:rPr>
        <w:t xml:space="preserve">en las bases y lineamientos numeral 5.5.8.1 de las POBALINES, las penas convencionales y deducciones deben aplicarse bajo el principio de proporcionalidad conforme al artículo 1844 del Código Civil Federal, es decir, </w:t>
      </w:r>
      <w:r w:rsidRPr="00F1219F">
        <w:rPr>
          <w:rFonts w:ascii="Geomanist" w:hAnsi="Geomanist"/>
          <w:sz w:val="22"/>
          <w:szCs w:val="22"/>
        </w:rPr>
        <w:t xml:space="preserve">únicamente se aplicarán respecto del monto correspondiente a los servicios que no fueron entregados o prestados oportunamente o por aquel incumplimiento parcial o deficiente en que incurra el proveedor en relación con los conceptos que integren el contrato </w:t>
      </w:r>
      <w:r w:rsidRPr="00F1219F">
        <w:rPr>
          <w:rFonts w:ascii="Geomanist" w:hAnsi="Geomanist" w:cs="Times New Roman"/>
          <w:sz w:val="22"/>
          <w:szCs w:val="22"/>
        </w:rPr>
        <w:t>de prestación de servicio que corresponda a cada una de las partidas adjudicadas</w:t>
      </w:r>
      <w:r w:rsidRPr="00F1219F">
        <w:rPr>
          <w:rFonts w:ascii="Geomanist" w:hAnsi="Geomanist"/>
          <w:sz w:val="22"/>
          <w:szCs w:val="22"/>
        </w:rPr>
        <w:t>.</w:t>
      </w:r>
    </w:p>
    <w:p w14:paraId="37EEB8DC" w14:textId="77777777" w:rsidR="00F1219F" w:rsidRPr="00F1219F" w:rsidRDefault="00F1219F" w:rsidP="00F1219F">
      <w:pPr>
        <w:spacing w:line="264" w:lineRule="auto"/>
        <w:jc w:val="both"/>
        <w:rPr>
          <w:rFonts w:ascii="Geomanist" w:hAnsi="Geomanist"/>
          <w:sz w:val="22"/>
          <w:szCs w:val="22"/>
        </w:rPr>
      </w:pPr>
    </w:p>
    <w:p w14:paraId="5C36A138" w14:textId="77777777" w:rsidR="00F1219F" w:rsidRPr="00F1219F" w:rsidRDefault="00F1219F" w:rsidP="00F1219F">
      <w:pPr>
        <w:spacing w:line="264" w:lineRule="auto"/>
        <w:jc w:val="both"/>
        <w:rPr>
          <w:rFonts w:ascii="Geomanist" w:hAnsi="Geomanist"/>
          <w:sz w:val="22"/>
          <w:szCs w:val="22"/>
        </w:rPr>
      </w:pPr>
      <w:r w:rsidRPr="00F1219F">
        <w:rPr>
          <w:rFonts w:ascii="Geomanist" w:hAnsi="Geomanist" w:cs="Times New Roman"/>
          <w:sz w:val="22"/>
          <w:szCs w:val="22"/>
        </w:rPr>
        <w:t>En términos del numeral 5.3.15 de las POBALINES, el responsable de verificar el cumplimiento de las obligaciones contractuales, como son la prestación de los servicios o la entrega de los productos esperados o servicios, así como el cálculo de deducciones y penas convencionales, entre otros, será el servidor público designado como el Administrador del Contrato o de la persona servidora pública designada como auxiliar en la administración del contrato.</w:t>
      </w:r>
    </w:p>
    <w:p w14:paraId="36D3BE41" w14:textId="77777777" w:rsidR="00F1219F" w:rsidRPr="00F1219F" w:rsidRDefault="00F1219F" w:rsidP="00F1219F">
      <w:pPr>
        <w:spacing w:line="264" w:lineRule="auto"/>
        <w:contextualSpacing/>
        <w:jc w:val="both"/>
        <w:rPr>
          <w:rFonts w:ascii="Geomanist" w:eastAsia="Times New Roman" w:hAnsi="Geomanist" w:cs="Arial"/>
          <w:sz w:val="22"/>
          <w:szCs w:val="22"/>
        </w:rPr>
      </w:pPr>
    </w:p>
    <w:p w14:paraId="7436A671" w14:textId="77777777" w:rsidR="00F1219F" w:rsidRPr="00F1219F" w:rsidRDefault="00F1219F" w:rsidP="00F1219F">
      <w:pPr>
        <w:spacing w:line="264" w:lineRule="auto"/>
        <w:contextualSpacing/>
        <w:jc w:val="both"/>
        <w:rPr>
          <w:rFonts w:ascii="Geomanist" w:eastAsia="Times New Roman" w:hAnsi="Geomanist" w:cs="Arial"/>
          <w:sz w:val="22"/>
          <w:szCs w:val="22"/>
        </w:rPr>
      </w:pPr>
      <w:r w:rsidRPr="00F1219F">
        <w:rPr>
          <w:rFonts w:ascii="Geomanist" w:eastAsia="Times New Roman" w:hAnsi="Geomanist" w:cs="Arial"/>
          <w:sz w:val="22"/>
          <w:szCs w:val="22"/>
        </w:rPr>
        <w:t>El importe máximo de las deductivas y penas convencionales no será mayor al que resulte de aplicar el porcentaje de la garantía de cumplimiento.</w:t>
      </w:r>
    </w:p>
    <w:p w14:paraId="6F9C2D4A" w14:textId="77777777" w:rsidR="00F1219F" w:rsidRPr="00F1219F" w:rsidRDefault="00F1219F" w:rsidP="00F1219F">
      <w:pPr>
        <w:spacing w:line="264" w:lineRule="auto"/>
        <w:contextualSpacing/>
        <w:jc w:val="both"/>
        <w:rPr>
          <w:rFonts w:ascii="Geomanist" w:eastAsia="Times New Roman" w:hAnsi="Geomanist" w:cs="Arial"/>
          <w:sz w:val="22"/>
          <w:szCs w:val="22"/>
        </w:rPr>
      </w:pPr>
    </w:p>
    <w:p w14:paraId="558273FB" w14:textId="77777777" w:rsidR="00F1219F" w:rsidRPr="00F1219F" w:rsidRDefault="00F1219F" w:rsidP="00F1219F">
      <w:pPr>
        <w:pStyle w:val="Ttulo1"/>
        <w:spacing w:before="0"/>
        <w:rPr>
          <w:rFonts w:ascii="Geomanist" w:hAnsi="Geomanist"/>
          <w:b/>
          <w:bCs/>
          <w:color w:val="000000" w:themeColor="text1"/>
          <w:sz w:val="22"/>
          <w:szCs w:val="22"/>
        </w:rPr>
      </w:pPr>
      <w:r w:rsidRPr="00F1219F">
        <w:rPr>
          <w:rFonts w:ascii="Geomanist" w:hAnsi="Geomanist"/>
          <w:b/>
          <w:bCs/>
          <w:color w:val="000000" w:themeColor="text1"/>
          <w:sz w:val="22"/>
          <w:szCs w:val="22"/>
        </w:rPr>
        <w:t>MECANISMOS REQUERIDOS AL PROVEEDOR PARA RESPONDER POR DEFECTOS O VICIOS OCULTOS DE LOS BIENES O CALIDAD DEL SERVICIO</w:t>
      </w:r>
    </w:p>
    <w:p w14:paraId="08A84705" w14:textId="77777777" w:rsidR="00F1219F" w:rsidRPr="00F1219F" w:rsidRDefault="00F1219F" w:rsidP="00F1219F">
      <w:pPr>
        <w:pStyle w:val="Prrafodelista"/>
        <w:spacing w:after="0" w:line="264" w:lineRule="auto"/>
        <w:ind w:left="0"/>
        <w:jc w:val="both"/>
        <w:rPr>
          <w:rFonts w:ascii="Geomanist" w:hAnsi="Geomanist"/>
          <w:lang w:val="es-ES"/>
        </w:rPr>
      </w:pPr>
    </w:p>
    <w:p w14:paraId="3AB92E55" w14:textId="77777777" w:rsidR="00F1219F" w:rsidRPr="00F1219F" w:rsidRDefault="00F1219F" w:rsidP="00F1219F">
      <w:pPr>
        <w:pStyle w:val="Prrafodelista"/>
        <w:spacing w:after="0" w:line="264" w:lineRule="auto"/>
        <w:ind w:left="0"/>
        <w:jc w:val="both"/>
        <w:rPr>
          <w:rFonts w:ascii="Geomanist" w:hAnsi="Geomanist"/>
          <w:lang w:val="es-ES"/>
        </w:rPr>
      </w:pPr>
      <w:r w:rsidRPr="00F1219F">
        <w:rPr>
          <w:rFonts w:ascii="Geomanist" w:hAnsi="Geomanist"/>
          <w:lang w:val="es-ES"/>
        </w:rPr>
        <w:t>No aplica.</w:t>
      </w:r>
    </w:p>
    <w:p w14:paraId="6D335076" w14:textId="77777777" w:rsidR="00F1219F" w:rsidRPr="00F1219F" w:rsidRDefault="00F1219F" w:rsidP="00F1219F">
      <w:pPr>
        <w:pStyle w:val="Prrafodelista"/>
        <w:spacing w:after="0" w:line="264" w:lineRule="auto"/>
        <w:ind w:left="0"/>
        <w:jc w:val="both"/>
        <w:rPr>
          <w:rFonts w:ascii="Geomanist" w:hAnsi="Geomanist"/>
          <w:lang w:val="es-ES"/>
        </w:rPr>
      </w:pPr>
    </w:p>
    <w:p w14:paraId="64A2BA0C" w14:textId="77777777" w:rsidR="00F1219F" w:rsidRPr="00F1219F" w:rsidRDefault="00F1219F" w:rsidP="00F1219F">
      <w:pPr>
        <w:pStyle w:val="Ttulo1"/>
        <w:spacing w:before="0"/>
        <w:rPr>
          <w:rFonts w:ascii="Geomanist" w:hAnsi="Geomanist"/>
          <w:b/>
          <w:bCs/>
          <w:color w:val="000000" w:themeColor="text1"/>
          <w:sz w:val="22"/>
          <w:szCs w:val="22"/>
        </w:rPr>
      </w:pPr>
      <w:r w:rsidRPr="00F1219F">
        <w:rPr>
          <w:rFonts w:ascii="Geomanist" w:hAnsi="Geomanist"/>
          <w:b/>
          <w:bCs/>
          <w:color w:val="000000" w:themeColor="text1"/>
          <w:sz w:val="22"/>
          <w:szCs w:val="22"/>
        </w:rPr>
        <w:t>GARANTÍAS DE ANTICIPOS, CUMPLIMIENTO, DEFECTOS O VICIOS OCULTOS DE BIENES, CALIDAD DE SERVICIOS</w:t>
      </w:r>
    </w:p>
    <w:p w14:paraId="51C84FE0" w14:textId="77777777" w:rsidR="00F1219F" w:rsidRPr="00F1219F" w:rsidRDefault="00F1219F" w:rsidP="00F1219F">
      <w:pPr>
        <w:spacing w:line="264" w:lineRule="auto"/>
        <w:jc w:val="both"/>
        <w:rPr>
          <w:rFonts w:ascii="Geomanist" w:hAnsi="Geomanist"/>
        </w:rPr>
      </w:pPr>
    </w:p>
    <w:p w14:paraId="0CAD2556" w14:textId="77777777" w:rsidR="00F1219F" w:rsidRPr="00F1219F" w:rsidRDefault="00F1219F" w:rsidP="00F1219F">
      <w:pPr>
        <w:pStyle w:val="Ttulo2"/>
        <w:spacing w:before="0" w:line="264" w:lineRule="auto"/>
        <w:rPr>
          <w:rFonts w:ascii="Geomanist" w:hAnsi="Geomanist"/>
          <w:color w:val="auto"/>
          <w:sz w:val="22"/>
          <w:szCs w:val="22"/>
        </w:rPr>
      </w:pPr>
      <w:r w:rsidRPr="00F1219F">
        <w:rPr>
          <w:rFonts w:ascii="Geomanist" w:hAnsi="Geomanist"/>
          <w:color w:val="auto"/>
          <w:sz w:val="22"/>
          <w:szCs w:val="22"/>
        </w:rPr>
        <w:t>Garantía de cumplimiento divisible de obligaciones</w:t>
      </w:r>
    </w:p>
    <w:p w14:paraId="697E095D" w14:textId="77777777" w:rsidR="00F1219F" w:rsidRPr="00F1219F" w:rsidRDefault="00F1219F" w:rsidP="00F1219F">
      <w:pPr>
        <w:spacing w:line="264" w:lineRule="auto"/>
        <w:jc w:val="both"/>
        <w:rPr>
          <w:rFonts w:ascii="Geomanist" w:hAnsi="Geomanist" w:cs="Times New Roman"/>
          <w:sz w:val="22"/>
          <w:szCs w:val="22"/>
        </w:rPr>
      </w:pPr>
    </w:p>
    <w:p w14:paraId="233A2CAC"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 xml:space="preserve">El proveedor, para garantizar el cumplimiento de todas y cada una de las obligaciones estipuladas en el contrato o contratos de prestación de servicio que se formalicen para las </w:t>
      </w:r>
      <w:r w:rsidRPr="00F1219F">
        <w:rPr>
          <w:rFonts w:ascii="Geomanist" w:hAnsi="Geomanist" w:cs="Times New Roman"/>
          <w:sz w:val="22"/>
          <w:szCs w:val="22"/>
        </w:rPr>
        <w:lastRenderedPageBreak/>
        <w:t>partidas 1, 2 y 3 objeto de contratación, deberá presentar fianza a favor del Instituto, expedida por una afianzadora debidamente constituida en términos de la Ley de Instituciones de Seguros y Fianzas, por un importe equivalente al 10% (diez por ciento) del monto total del contrato, sin considerar el Impuesto al Valor Agregado (IVA).</w:t>
      </w:r>
    </w:p>
    <w:p w14:paraId="09D08DF1" w14:textId="77777777" w:rsidR="00F1219F" w:rsidRPr="00F1219F" w:rsidRDefault="00F1219F" w:rsidP="00F1219F">
      <w:pPr>
        <w:spacing w:line="264" w:lineRule="auto"/>
        <w:jc w:val="both"/>
        <w:rPr>
          <w:rFonts w:ascii="Geomanist" w:hAnsi="Geomanist" w:cs="Times New Roman"/>
          <w:sz w:val="22"/>
          <w:szCs w:val="22"/>
        </w:rPr>
      </w:pPr>
    </w:p>
    <w:p w14:paraId="20E206A8"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En el supuesto de que las partes convengan la modificación o ampliación del contrato vigente, el proveedor deberá contratar la modificación o ampliación a la póliza de fianza, presentando endoso a la misma, o bien una nueva, dentro de los 10 (diez) días naturales siguientes al de la firma del convenio que lo modifique, a favor del IMSS y sin considerar el IVA.</w:t>
      </w:r>
    </w:p>
    <w:p w14:paraId="1A262609" w14:textId="77777777" w:rsidR="00F1219F" w:rsidRPr="00F1219F" w:rsidRDefault="00F1219F" w:rsidP="00F1219F">
      <w:pPr>
        <w:spacing w:line="264" w:lineRule="auto"/>
        <w:jc w:val="both"/>
        <w:rPr>
          <w:rFonts w:ascii="Geomanist" w:hAnsi="Geomanist" w:cs="Times New Roman"/>
          <w:sz w:val="22"/>
          <w:szCs w:val="22"/>
        </w:rPr>
      </w:pPr>
    </w:p>
    <w:p w14:paraId="448DFA4A"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La garantía de cumplimiento del contrato deberá presentarse a más tardar dentro de los diez días naturales siguientes a la firma del contrato de prestación de servicio, conforme a lo establecido en el artículo 48, último párrafo de la LAASSP.</w:t>
      </w:r>
    </w:p>
    <w:p w14:paraId="15C7CC9E" w14:textId="77777777" w:rsidR="00F1219F" w:rsidRPr="00F1219F" w:rsidRDefault="00F1219F" w:rsidP="00F1219F">
      <w:pPr>
        <w:spacing w:line="264" w:lineRule="auto"/>
        <w:rPr>
          <w:rFonts w:ascii="Geomanist" w:hAnsi="Geomanist" w:cs="Times New Roman"/>
          <w:sz w:val="22"/>
          <w:szCs w:val="22"/>
        </w:rPr>
      </w:pPr>
    </w:p>
    <w:p w14:paraId="2D0173CF" w14:textId="77777777" w:rsidR="00F1219F" w:rsidRPr="00F1219F" w:rsidRDefault="00F1219F" w:rsidP="00F1219F">
      <w:pPr>
        <w:pStyle w:val="Ttulo2"/>
        <w:spacing w:before="0" w:line="264" w:lineRule="auto"/>
        <w:rPr>
          <w:rFonts w:ascii="Geomanist" w:hAnsi="Geomanist"/>
          <w:color w:val="auto"/>
          <w:sz w:val="22"/>
          <w:szCs w:val="22"/>
        </w:rPr>
      </w:pPr>
      <w:r w:rsidRPr="00F1219F">
        <w:rPr>
          <w:rFonts w:ascii="Geomanist" w:hAnsi="Geomanist"/>
          <w:color w:val="auto"/>
          <w:sz w:val="22"/>
          <w:szCs w:val="22"/>
        </w:rPr>
        <w:t>Devolución de garantías</w:t>
      </w:r>
    </w:p>
    <w:p w14:paraId="2BC49EB2" w14:textId="77777777" w:rsidR="00F1219F" w:rsidRPr="00F1219F" w:rsidRDefault="00F1219F" w:rsidP="00F1219F">
      <w:pPr>
        <w:spacing w:line="264" w:lineRule="auto"/>
        <w:rPr>
          <w:rFonts w:ascii="Geomanist" w:hAnsi="Geomanist" w:cs="Times New Roman"/>
          <w:sz w:val="22"/>
          <w:szCs w:val="22"/>
        </w:rPr>
      </w:pPr>
    </w:p>
    <w:p w14:paraId="3108EBFB"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La liberación de garantías relativas al cumplimiento del contrato de prestación de servicio podrá realizarse una vez que haya transcurrido el plazo de garantía indicado, a solicitud expresa por escrito en papel membretado del proveedor, dirigida a la División de Contratos de la Coordinación Técnica de Planeación y Contratos, la cual autorizará la devolución o cancelación de la póliza de fianza correspondiente. Dicha autorización se entregará al proveedor, siempre que demuestre haber cumplido con la totalidad de las obligaciones adquiridas por virtud del contrato que se suscriba.</w:t>
      </w:r>
    </w:p>
    <w:p w14:paraId="3E51C371" w14:textId="77777777" w:rsidR="00F1219F" w:rsidRPr="00F1219F" w:rsidRDefault="00F1219F" w:rsidP="00F1219F">
      <w:pPr>
        <w:spacing w:line="264" w:lineRule="auto"/>
        <w:jc w:val="both"/>
        <w:rPr>
          <w:rFonts w:ascii="Geomanist" w:hAnsi="Geomanist" w:cs="Times New Roman"/>
          <w:sz w:val="22"/>
          <w:szCs w:val="22"/>
        </w:rPr>
      </w:pPr>
    </w:p>
    <w:p w14:paraId="61C395EC"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La garantía de cumplimiento a las obligaciones del contrato de prestación de servicio únicamente podrá ser liberada mediante autorización emitida por escrito por parte del Instituto. Asimismo, se establece que la garantía estará sujeta a la rescisión administrativa en el proceso de ejecución de contrato de prestación de servicio.</w:t>
      </w:r>
    </w:p>
    <w:p w14:paraId="275B70B4" w14:textId="77777777" w:rsidR="00F1219F" w:rsidRPr="00F1219F" w:rsidRDefault="00F1219F" w:rsidP="00F1219F">
      <w:pPr>
        <w:spacing w:line="264" w:lineRule="auto"/>
        <w:jc w:val="both"/>
        <w:rPr>
          <w:rFonts w:ascii="Geomanist" w:hAnsi="Geomanist" w:cs="Times New Roman"/>
          <w:sz w:val="22"/>
          <w:szCs w:val="22"/>
        </w:rPr>
      </w:pPr>
    </w:p>
    <w:p w14:paraId="79FF676E" w14:textId="77777777" w:rsidR="00F1219F" w:rsidRPr="00F1219F" w:rsidRDefault="00F1219F" w:rsidP="00F1219F">
      <w:pPr>
        <w:pStyle w:val="Ttulo2"/>
        <w:spacing w:before="0" w:line="264" w:lineRule="auto"/>
        <w:rPr>
          <w:rFonts w:ascii="Geomanist" w:hAnsi="Geomanist"/>
          <w:color w:val="auto"/>
          <w:sz w:val="22"/>
          <w:szCs w:val="22"/>
        </w:rPr>
      </w:pPr>
      <w:r w:rsidRPr="00F1219F">
        <w:rPr>
          <w:rFonts w:ascii="Geomanist" w:hAnsi="Geomanist"/>
          <w:color w:val="auto"/>
          <w:sz w:val="22"/>
          <w:szCs w:val="22"/>
        </w:rPr>
        <w:t>Ejecución de la garantía</w:t>
      </w:r>
    </w:p>
    <w:p w14:paraId="562FD016" w14:textId="77777777" w:rsidR="00F1219F" w:rsidRPr="00F1219F" w:rsidRDefault="00F1219F" w:rsidP="00F1219F">
      <w:pPr>
        <w:spacing w:line="264" w:lineRule="auto"/>
        <w:rPr>
          <w:rFonts w:ascii="Geomanist" w:hAnsi="Geomanist" w:cs="Times New Roman"/>
          <w:sz w:val="22"/>
          <w:szCs w:val="22"/>
        </w:rPr>
      </w:pPr>
    </w:p>
    <w:p w14:paraId="034EAFD7"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Se hará efectiva la garantía relativa al cumplimiento del contrato de prestación de servicios:</w:t>
      </w:r>
    </w:p>
    <w:p w14:paraId="7CBC8865" w14:textId="77777777" w:rsidR="00F1219F" w:rsidRPr="00F1219F" w:rsidRDefault="00F1219F" w:rsidP="00F1219F">
      <w:pPr>
        <w:spacing w:line="264" w:lineRule="auto"/>
        <w:rPr>
          <w:rFonts w:ascii="Geomanist" w:hAnsi="Geomanist" w:cs="Times New Roman"/>
          <w:sz w:val="22"/>
          <w:szCs w:val="22"/>
        </w:rPr>
      </w:pPr>
    </w:p>
    <w:p w14:paraId="67C97ADC" w14:textId="77777777" w:rsidR="00F1219F" w:rsidRPr="00F1219F" w:rsidRDefault="00F1219F" w:rsidP="00F1219F">
      <w:pPr>
        <w:numPr>
          <w:ilvl w:val="0"/>
          <w:numId w:val="40"/>
        </w:numPr>
        <w:spacing w:line="264" w:lineRule="auto"/>
        <w:ind w:left="709" w:hanging="283"/>
        <w:contextualSpacing/>
        <w:jc w:val="both"/>
        <w:rPr>
          <w:rFonts w:ascii="Geomanist" w:eastAsia="Times New Roman" w:hAnsi="Geomanist" w:cs="Arial"/>
          <w:sz w:val="22"/>
          <w:szCs w:val="22"/>
        </w:rPr>
      </w:pPr>
      <w:r w:rsidRPr="00F1219F">
        <w:rPr>
          <w:rFonts w:ascii="Geomanist" w:eastAsia="Times New Roman" w:hAnsi="Geomanist" w:cs="Arial"/>
          <w:sz w:val="22"/>
          <w:szCs w:val="22"/>
        </w:rPr>
        <w:t>Cuando el proveedor incumpla con cualquiera de las obligaciones establecidas en el contrato que se celebre.</w:t>
      </w:r>
    </w:p>
    <w:p w14:paraId="377B378B" w14:textId="77777777" w:rsidR="00F1219F" w:rsidRPr="00F1219F" w:rsidRDefault="00F1219F" w:rsidP="00F1219F">
      <w:pPr>
        <w:numPr>
          <w:ilvl w:val="0"/>
          <w:numId w:val="40"/>
        </w:numPr>
        <w:spacing w:line="264" w:lineRule="auto"/>
        <w:ind w:left="709" w:hanging="283"/>
        <w:contextualSpacing/>
        <w:jc w:val="both"/>
        <w:rPr>
          <w:rFonts w:ascii="Geomanist" w:eastAsia="Times New Roman" w:hAnsi="Geomanist" w:cs="Arial"/>
          <w:sz w:val="22"/>
          <w:szCs w:val="22"/>
        </w:rPr>
      </w:pPr>
      <w:r w:rsidRPr="00F1219F">
        <w:rPr>
          <w:rFonts w:ascii="Geomanist" w:eastAsia="Times New Roman" w:hAnsi="Geomanist" w:cs="Arial"/>
          <w:sz w:val="22"/>
          <w:szCs w:val="22"/>
        </w:rPr>
        <w:t>Cuando se rescinda administrativamente el contrato.</w:t>
      </w:r>
    </w:p>
    <w:p w14:paraId="0D0E9F60" w14:textId="77777777" w:rsidR="00F1219F" w:rsidRPr="00F1219F" w:rsidRDefault="00F1219F" w:rsidP="00F1219F">
      <w:pPr>
        <w:spacing w:line="264" w:lineRule="auto"/>
        <w:contextualSpacing/>
        <w:jc w:val="both"/>
        <w:rPr>
          <w:rFonts w:ascii="Geomanist" w:eastAsia="Times New Roman" w:hAnsi="Geomanist" w:cs="Arial"/>
          <w:sz w:val="22"/>
          <w:szCs w:val="22"/>
        </w:rPr>
      </w:pPr>
    </w:p>
    <w:p w14:paraId="0504CB1E"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Lo anterior conforme a lo que se establece en el segundo párrafo artículo 95 del Reglamento de la LAASSP y al numeral 5.5.1.1 inciso c de las POBALINES.</w:t>
      </w:r>
    </w:p>
    <w:p w14:paraId="23F0FBF1" w14:textId="77777777" w:rsidR="00F1219F" w:rsidRPr="00F1219F" w:rsidRDefault="00F1219F" w:rsidP="00F1219F">
      <w:pPr>
        <w:spacing w:line="264" w:lineRule="auto"/>
        <w:jc w:val="both"/>
        <w:rPr>
          <w:rFonts w:ascii="Geomanist" w:hAnsi="Geomanist" w:cs="Times New Roman"/>
          <w:sz w:val="22"/>
          <w:szCs w:val="22"/>
        </w:rPr>
      </w:pPr>
    </w:p>
    <w:p w14:paraId="6EFE0F4F"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Además de las sanciones anteriormente mencionadas, serán aplicables las que estipulen las disposiciones legales vigentes en la materia.</w:t>
      </w:r>
    </w:p>
    <w:p w14:paraId="239E43D6" w14:textId="77777777" w:rsidR="00F1219F" w:rsidRPr="00F1219F" w:rsidRDefault="00F1219F" w:rsidP="00F1219F">
      <w:pPr>
        <w:spacing w:line="264" w:lineRule="auto"/>
        <w:jc w:val="both"/>
        <w:rPr>
          <w:rFonts w:ascii="Geomanist" w:hAnsi="Geomanist" w:cs="Times New Roman"/>
          <w:sz w:val="22"/>
          <w:szCs w:val="22"/>
        </w:rPr>
      </w:pPr>
    </w:p>
    <w:p w14:paraId="099D1F38"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La ejecución de la garantía de cumplimiento del contrato de prestación de servicio será proporcional al monto de las obligaciones incumplidas.</w:t>
      </w:r>
    </w:p>
    <w:p w14:paraId="6BC35CD7" w14:textId="77777777" w:rsidR="00F1219F" w:rsidRPr="00F1219F" w:rsidRDefault="00F1219F" w:rsidP="00F1219F">
      <w:pPr>
        <w:spacing w:line="264" w:lineRule="auto"/>
        <w:jc w:val="both"/>
        <w:rPr>
          <w:rFonts w:ascii="Geomanist" w:hAnsi="Geomanist" w:cs="Times New Roman"/>
          <w:sz w:val="22"/>
          <w:szCs w:val="22"/>
        </w:rPr>
      </w:pPr>
    </w:p>
    <w:p w14:paraId="40CD9878" w14:textId="77777777" w:rsidR="00F1219F" w:rsidRPr="00F1219F" w:rsidRDefault="00F1219F" w:rsidP="00F1219F">
      <w:pPr>
        <w:pStyle w:val="Ttulo1"/>
        <w:spacing w:before="0"/>
        <w:ind w:left="437" w:hanging="437"/>
        <w:rPr>
          <w:rFonts w:ascii="Geomanist" w:hAnsi="Geomanist"/>
          <w:b/>
          <w:bCs/>
          <w:color w:val="000000" w:themeColor="text1"/>
          <w:sz w:val="22"/>
          <w:szCs w:val="22"/>
        </w:rPr>
      </w:pPr>
      <w:r w:rsidRPr="00F1219F">
        <w:rPr>
          <w:rFonts w:ascii="Geomanist" w:hAnsi="Geomanist"/>
          <w:b/>
          <w:bCs/>
          <w:color w:val="000000" w:themeColor="text1"/>
          <w:sz w:val="22"/>
          <w:szCs w:val="22"/>
        </w:rPr>
        <w:t xml:space="preserve">FORMA DE PAGO </w:t>
      </w:r>
    </w:p>
    <w:p w14:paraId="2A5F10E2" w14:textId="77777777" w:rsidR="00F1219F" w:rsidRPr="00F1219F" w:rsidRDefault="00F1219F" w:rsidP="00F1219F">
      <w:pPr>
        <w:spacing w:line="264" w:lineRule="auto"/>
        <w:jc w:val="both"/>
        <w:rPr>
          <w:rFonts w:ascii="Geomanist" w:hAnsi="Geomanist"/>
          <w:bCs/>
        </w:rPr>
      </w:pPr>
    </w:p>
    <w:p w14:paraId="1C17670D"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El precio ofertado para las partidas 1, 2 y 3 objeto del presente procedimiento de contratación será fijo durante la vigencia del contrato.</w:t>
      </w:r>
    </w:p>
    <w:p w14:paraId="48D912FF" w14:textId="77777777" w:rsidR="00F1219F" w:rsidRPr="00F1219F" w:rsidRDefault="00F1219F" w:rsidP="00F1219F">
      <w:pPr>
        <w:spacing w:line="264" w:lineRule="auto"/>
        <w:jc w:val="both"/>
        <w:rPr>
          <w:rFonts w:ascii="Geomanist" w:hAnsi="Geomanist" w:cs="Times New Roman"/>
          <w:sz w:val="22"/>
          <w:szCs w:val="22"/>
        </w:rPr>
      </w:pPr>
    </w:p>
    <w:p w14:paraId="4ABAA018"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El pago se efectuará en pesos mexicanos en una sola exhibición, una vez que se hayan entregado a entera satisfacción del Instituto los productos establecidos en cada una de las partidas, mismos que se especifican en el Anexo Técnico que se incluye en el Anexo Número 1 (UNO) de la convocatoria, considerando los plazos normados por la Dirección de Finanzas, de acuerdo con el “Procedimiento para la recepción, glosa y aprobación de documentos presentados para trámite de pago y la constitución, modificación, cancelación, operación y control de fondos fijos”. No se otorgarán anticipos.</w:t>
      </w:r>
    </w:p>
    <w:p w14:paraId="749CA24A" w14:textId="77777777" w:rsidR="00F1219F" w:rsidRPr="00F1219F" w:rsidRDefault="00F1219F" w:rsidP="00F1219F">
      <w:pPr>
        <w:spacing w:line="264" w:lineRule="auto"/>
        <w:jc w:val="both"/>
        <w:rPr>
          <w:rFonts w:ascii="Geomanist" w:hAnsi="Geomanist" w:cs="Times New Roman"/>
          <w:sz w:val="22"/>
          <w:szCs w:val="22"/>
        </w:rPr>
      </w:pPr>
    </w:p>
    <w:p w14:paraId="380AEE77"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El pago de los servicios quedará condicionado, en su caso, proporcionalmente al pago que el proveedor deba efectuar por concepto de penas convencionales y/o deductivas.</w:t>
      </w:r>
    </w:p>
    <w:p w14:paraId="166B0F31" w14:textId="77777777" w:rsidR="00F1219F" w:rsidRPr="00F1219F" w:rsidRDefault="00F1219F" w:rsidP="00F1219F">
      <w:pPr>
        <w:spacing w:line="264" w:lineRule="auto"/>
        <w:jc w:val="both"/>
        <w:rPr>
          <w:rFonts w:ascii="Geomanist" w:hAnsi="Geomanist" w:cs="Times New Roman"/>
          <w:sz w:val="22"/>
          <w:szCs w:val="22"/>
        </w:rPr>
      </w:pPr>
    </w:p>
    <w:p w14:paraId="24329AFA" w14:textId="77777777" w:rsidR="00F1219F" w:rsidRPr="00F1219F" w:rsidRDefault="00F1219F" w:rsidP="00F1219F">
      <w:pPr>
        <w:pStyle w:val="Ttulo1"/>
        <w:spacing w:before="0"/>
        <w:rPr>
          <w:rFonts w:ascii="Geomanist" w:hAnsi="Geomanist"/>
          <w:b/>
          <w:bCs/>
          <w:color w:val="000000" w:themeColor="text1"/>
          <w:sz w:val="22"/>
          <w:szCs w:val="22"/>
        </w:rPr>
      </w:pPr>
      <w:r w:rsidRPr="00F1219F">
        <w:rPr>
          <w:rFonts w:ascii="Geomanist" w:hAnsi="Geomanist"/>
          <w:b/>
          <w:bCs/>
          <w:color w:val="000000" w:themeColor="text1"/>
          <w:sz w:val="22"/>
          <w:szCs w:val="22"/>
        </w:rPr>
        <w:t xml:space="preserve">MECANISMO DE COMPROBACIÓN, SUPERVISIÓN Y VERIFICACIÓN DE LOS SERVICIOS CONTRATADOS </w:t>
      </w:r>
    </w:p>
    <w:p w14:paraId="447029EF" w14:textId="77777777" w:rsidR="00F1219F" w:rsidRPr="00F1219F" w:rsidRDefault="00F1219F" w:rsidP="00F1219F">
      <w:pPr>
        <w:spacing w:line="264" w:lineRule="auto"/>
        <w:jc w:val="both"/>
        <w:rPr>
          <w:rFonts w:ascii="Geomanist" w:hAnsi="Geomanist"/>
          <w:sz w:val="20"/>
          <w:szCs w:val="20"/>
        </w:rPr>
      </w:pPr>
    </w:p>
    <w:p w14:paraId="1E0589BF"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El Instituto tendrá el derecho de comprobar y supervisar en cualquier momento a través de la Unidad de Riesgos Financieros y Actuariales, de la Coordinación de Administración de Riesgos Institucionales o de la División de Servicios Actuariales el cumplimiento de las actividades y del desarrollo de los productos que se establecen en el Anexo técnico que se incluye en el Anexo Número 1 (UNO) de la convocatoria. Para ello, se podrá desarrollar como mínimo lo siguiente:</w:t>
      </w:r>
    </w:p>
    <w:p w14:paraId="558228A5" w14:textId="77777777" w:rsidR="00F1219F" w:rsidRPr="00F1219F" w:rsidRDefault="00F1219F" w:rsidP="00F1219F">
      <w:pPr>
        <w:spacing w:line="264" w:lineRule="auto"/>
        <w:jc w:val="both"/>
        <w:rPr>
          <w:rFonts w:ascii="Geomanist" w:hAnsi="Geomanist"/>
          <w:sz w:val="20"/>
          <w:szCs w:val="20"/>
        </w:rPr>
      </w:pPr>
    </w:p>
    <w:p w14:paraId="7D5E2DFC" w14:textId="77777777" w:rsidR="00F1219F" w:rsidRPr="00F1219F" w:rsidRDefault="00F1219F" w:rsidP="00F1219F">
      <w:pPr>
        <w:pStyle w:val="Ttulo2"/>
        <w:spacing w:before="0" w:line="264" w:lineRule="auto"/>
        <w:ind w:left="578" w:hanging="578"/>
        <w:rPr>
          <w:rFonts w:ascii="Geomanist" w:hAnsi="Geomanist"/>
          <w:color w:val="000000" w:themeColor="text1"/>
          <w:sz w:val="22"/>
          <w:szCs w:val="22"/>
        </w:rPr>
      </w:pPr>
      <w:r w:rsidRPr="00F1219F">
        <w:rPr>
          <w:rFonts w:ascii="Geomanist" w:hAnsi="Geomanist"/>
          <w:color w:val="000000" w:themeColor="text1"/>
          <w:sz w:val="22"/>
          <w:szCs w:val="22"/>
        </w:rPr>
        <w:t>Procedimiento de supervisión y verificación de calidad</w:t>
      </w:r>
    </w:p>
    <w:p w14:paraId="211719E7" w14:textId="77777777" w:rsidR="00F1219F" w:rsidRPr="00F1219F" w:rsidRDefault="00F1219F" w:rsidP="00F1219F">
      <w:pPr>
        <w:spacing w:line="264" w:lineRule="auto"/>
        <w:rPr>
          <w:rFonts w:ascii="Geomanist" w:hAnsi="Geomanist" w:cs="Arial"/>
          <w:sz w:val="20"/>
          <w:szCs w:val="20"/>
        </w:rPr>
      </w:pPr>
    </w:p>
    <w:p w14:paraId="0E49886A" w14:textId="77777777" w:rsidR="00F1219F" w:rsidRPr="00F1219F" w:rsidRDefault="00F1219F" w:rsidP="00F1219F">
      <w:pPr>
        <w:pStyle w:val="Prrafodelista"/>
        <w:numPr>
          <w:ilvl w:val="1"/>
          <w:numId w:val="41"/>
        </w:numPr>
        <w:spacing w:after="0" w:line="264" w:lineRule="auto"/>
        <w:ind w:hanging="508"/>
        <w:contextualSpacing w:val="0"/>
        <w:jc w:val="both"/>
        <w:rPr>
          <w:rFonts w:ascii="Geomanist" w:hAnsi="Geomanist" w:cs="Arial"/>
          <w:lang w:val="es-ES"/>
        </w:rPr>
      </w:pPr>
      <w:r w:rsidRPr="00F1219F">
        <w:rPr>
          <w:rFonts w:ascii="Geomanist" w:hAnsi="Geomanist" w:cs="Arial"/>
          <w:lang w:val="es-ES"/>
        </w:rPr>
        <w:t xml:space="preserve">En caso de ser necesario, se llevarán a cabo reuniones de trabajo con </w:t>
      </w:r>
      <w:r w:rsidRPr="00F1219F">
        <w:rPr>
          <w:rFonts w:ascii="Geomanist" w:hAnsi="Geomanist" w:cs="Arial"/>
          <w:bCs/>
          <w:lang w:val="es-ES"/>
        </w:rPr>
        <w:t>el licitante</w:t>
      </w:r>
      <w:r w:rsidRPr="00F1219F">
        <w:rPr>
          <w:rFonts w:ascii="Geomanist" w:hAnsi="Geomanist" w:cs="Arial"/>
          <w:lang w:val="es-ES"/>
        </w:rPr>
        <w:t xml:space="preserve"> adjudicado, con el propósito de dar seguimiento a las actividades que se desarrollen como parte de la prestación del servicio, así como de la elaboración de los productos esperados.</w:t>
      </w:r>
    </w:p>
    <w:p w14:paraId="360307A6" w14:textId="77777777" w:rsidR="00F1219F" w:rsidRPr="00F1219F" w:rsidRDefault="00F1219F" w:rsidP="00F1219F">
      <w:pPr>
        <w:pStyle w:val="Prrafodelista"/>
        <w:numPr>
          <w:ilvl w:val="1"/>
          <w:numId w:val="41"/>
        </w:numPr>
        <w:spacing w:after="0" w:line="264" w:lineRule="auto"/>
        <w:ind w:hanging="508"/>
        <w:contextualSpacing w:val="0"/>
        <w:jc w:val="both"/>
        <w:rPr>
          <w:rFonts w:ascii="Geomanist" w:hAnsi="Geomanist" w:cs="Arial"/>
          <w:lang w:val="es-ES"/>
        </w:rPr>
      </w:pPr>
      <w:r w:rsidRPr="00F1219F">
        <w:rPr>
          <w:rFonts w:ascii="Geomanist" w:hAnsi="Geomanist" w:cs="Arial"/>
          <w:lang w:val="es-ES"/>
        </w:rPr>
        <w:lastRenderedPageBreak/>
        <w:t xml:space="preserve">Se podrán llevar a cabo acciones de supervisión y verificación que se consideren convenientes a efecto de constatar el cumplimiento del o de los contratos </w:t>
      </w:r>
      <w:r w:rsidRPr="00F1219F">
        <w:rPr>
          <w:rFonts w:ascii="Geomanist" w:hAnsi="Geomanist" w:cs="Times New Roman"/>
          <w:lang w:val="es-ES"/>
        </w:rPr>
        <w:t>de prestación de servicios que se formalicen para cada una de las partidas 1, 2 y 3 objeto del presente procedimiento de contratación</w:t>
      </w:r>
      <w:r w:rsidRPr="00F1219F">
        <w:rPr>
          <w:rFonts w:ascii="Geomanist" w:hAnsi="Geomanist" w:cs="Arial"/>
          <w:lang w:val="es-ES"/>
        </w:rPr>
        <w:t>.</w:t>
      </w:r>
    </w:p>
    <w:p w14:paraId="2D494D8A" w14:textId="77777777" w:rsidR="00F1219F" w:rsidRPr="00F1219F" w:rsidRDefault="00F1219F" w:rsidP="00F1219F">
      <w:pPr>
        <w:pStyle w:val="Prrafodelista"/>
        <w:numPr>
          <w:ilvl w:val="1"/>
          <w:numId w:val="41"/>
        </w:numPr>
        <w:spacing w:after="0" w:line="264" w:lineRule="auto"/>
        <w:ind w:hanging="508"/>
        <w:contextualSpacing w:val="0"/>
        <w:jc w:val="both"/>
        <w:rPr>
          <w:rFonts w:ascii="Geomanist" w:hAnsi="Geomanist" w:cs="Arial"/>
          <w:lang w:val="es-ES"/>
        </w:rPr>
      </w:pPr>
      <w:r w:rsidRPr="00F1219F">
        <w:rPr>
          <w:rFonts w:ascii="Geomanist" w:hAnsi="Geomanist" w:cs="Arial"/>
          <w:bCs/>
          <w:lang w:val="es-ES"/>
        </w:rPr>
        <w:t>El licitante adjudicado</w:t>
      </w:r>
      <w:r w:rsidRPr="00F1219F">
        <w:rPr>
          <w:rFonts w:ascii="Geomanist" w:hAnsi="Geomanist" w:cs="Arial"/>
          <w:lang w:val="es-ES"/>
        </w:rPr>
        <w:t xml:space="preserve"> realizará, sin costo para el Instituto Mexicano del Seguro Social (IMSS o Instituto), las correcciones y adecuaciones que le requiera el responsable de la Administración del Contrato o de la persona designada para auxiliarse para el debido cumplimiento de sus obligaciones, sobre trabajos carentes de calidad o mal ejecutados, en un plazo de 10 (diez) días naturales, contados a partir de su requerimiento por escrito, el cual será notificado a través de los medios señalados en el contrato.</w:t>
      </w:r>
    </w:p>
    <w:p w14:paraId="70305FA0" w14:textId="77777777" w:rsidR="00F1219F" w:rsidRPr="00F1219F" w:rsidRDefault="00F1219F" w:rsidP="00F1219F">
      <w:pPr>
        <w:pStyle w:val="Prrafodelista"/>
        <w:numPr>
          <w:ilvl w:val="1"/>
          <w:numId w:val="41"/>
        </w:numPr>
        <w:spacing w:after="0" w:line="264" w:lineRule="auto"/>
        <w:ind w:hanging="508"/>
        <w:contextualSpacing w:val="0"/>
        <w:jc w:val="both"/>
        <w:rPr>
          <w:rFonts w:ascii="Geomanist" w:hAnsi="Geomanist" w:cs="Arial"/>
          <w:lang w:val="es-ES"/>
        </w:rPr>
      </w:pPr>
      <w:r w:rsidRPr="00F1219F">
        <w:rPr>
          <w:rFonts w:ascii="Geomanist" w:hAnsi="Geomanist" w:cs="Arial"/>
          <w:bCs/>
          <w:lang w:val="es-ES"/>
        </w:rPr>
        <w:t>El licitante</w:t>
      </w:r>
      <w:r w:rsidRPr="00F1219F">
        <w:rPr>
          <w:rFonts w:ascii="Geomanist" w:hAnsi="Geomanist" w:cs="Arial"/>
          <w:lang w:val="es-ES"/>
        </w:rPr>
        <w:t xml:space="preserve"> adjudicado conviene que todas las especificaciones, estudios técnicos, informes y cualquier otro documento que resulte de la ejecución del servicio y que se especifican en el Anexo Técnico que se incluye en el Anexo Número 1 (UNO) de la convocatoria, serán propiedad del Instituto.</w:t>
      </w:r>
    </w:p>
    <w:p w14:paraId="0AD17BAF" w14:textId="77777777" w:rsidR="00F1219F" w:rsidRPr="00F1219F" w:rsidRDefault="00F1219F" w:rsidP="00F1219F">
      <w:pPr>
        <w:pStyle w:val="Prrafodelista"/>
        <w:numPr>
          <w:ilvl w:val="1"/>
          <w:numId w:val="41"/>
        </w:numPr>
        <w:spacing w:after="0" w:line="264" w:lineRule="auto"/>
        <w:ind w:hanging="508"/>
        <w:contextualSpacing w:val="0"/>
        <w:jc w:val="both"/>
        <w:rPr>
          <w:rFonts w:ascii="Geomanist" w:hAnsi="Geomanist" w:cs="Arial"/>
          <w:lang w:val="es-ES"/>
        </w:rPr>
      </w:pPr>
      <w:r w:rsidRPr="00F1219F">
        <w:rPr>
          <w:rFonts w:ascii="Geomanist" w:hAnsi="Geomanist" w:cs="Arial"/>
          <w:bCs/>
          <w:lang w:val="es-ES"/>
        </w:rPr>
        <w:t>El licitante</w:t>
      </w:r>
      <w:r w:rsidRPr="00F1219F">
        <w:rPr>
          <w:rFonts w:ascii="Geomanist" w:hAnsi="Geomanist" w:cs="Arial"/>
          <w:lang w:val="es-ES"/>
        </w:rPr>
        <w:t xml:space="preserve"> adjudicado se obliga a guardar la más estricta confidencialidad de la información que el Instituto proporcione para la realización del servicio, así como de los resultados que se obtengan.</w:t>
      </w:r>
    </w:p>
    <w:p w14:paraId="2182941C" w14:textId="77777777" w:rsidR="00F1219F" w:rsidRPr="00F1219F" w:rsidRDefault="00F1219F" w:rsidP="00F1219F">
      <w:pPr>
        <w:spacing w:line="264" w:lineRule="auto"/>
        <w:jc w:val="both"/>
        <w:rPr>
          <w:rFonts w:ascii="Geomanist" w:eastAsiaTheme="minorHAnsi" w:hAnsi="Geomanist"/>
          <w:sz w:val="22"/>
          <w:szCs w:val="22"/>
        </w:rPr>
      </w:pPr>
    </w:p>
    <w:p w14:paraId="2978BE1B" w14:textId="77777777" w:rsidR="00F1219F" w:rsidRPr="00F1219F" w:rsidRDefault="00F1219F" w:rsidP="00F1219F">
      <w:pPr>
        <w:pStyle w:val="Ttulo2"/>
        <w:spacing w:before="0" w:line="264" w:lineRule="auto"/>
        <w:ind w:left="578" w:hanging="578"/>
        <w:rPr>
          <w:rFonts w:ascii="Geomanist" w:hAnsi="Geomanist"/>
          <w:color w:val="000000" w:themeColor="text1"/>
          <w:sz w:val="22"/>
          <w:szCs w:val="22"/>
        </w:rPr>
      </w:pPr>
      <w:r w:rsidRPr="00F1219F">
        <w:rPr>
          <w:rFonts w:ascii="Geomanist" w:hAnsi="Geomanist"/>
          <w:color w:val="000000" w:themeColor="text1"/>
          <w:sz w:val="22"/>
          <w:szCs w:val="22"/>
        </w:rPr>
        <w:t>Causales de rescisión administrativa</w:t>
      </w:r>
    </w:p>
    <w:p w14:paraId="1821D3AC" w14:textId="77777777" w:rsidR="00F1219F" w:rsidRPr="00F1219F" w:rsidRDefault="00F1219F" w:rsidP="00F1219F">
      <w:pPr>
        <w:spacing w:line="264" w:lineRule="auto"/>
        <w:jc w:val="both"/>
        <w:rPr>
          <w:rFonts w:ascii="Geomanist" w:hAnsi="Geomanist"/>
          <w:sz w:val="22"/>
          <w:szCs w:val="22"/>
        </w:rPr>
      </w:pPr>
    </w:p>
    <w:p w14:paraId="64C23A5C" w14:textId="77777777" w:rsidR="00F1219F" w:rsidRPr="00F1219F" w:rsidRDefault="00F1219F" w:rsidP="00F1219F">
      <w:pPr>
        <w:spacing w:line="264" w:lineRule="auto"/>
        <w:jc w:val="both"/>
        <w:rPr>
          <w:rFonts w:ascii="Geomanist" w:hAnsi="Geomanist"/>
          <w:sz w:val="22"/>
          <w:szCs w:val="22"/>
        </w:rPr>
      </w:pPr>
      <w:r w:rsidRPr="00F1219F">
        <w:rPr>
          <w:rFonts w:ascii="Geomanist" w:hAnsi="Geomanist"/>
          <w:sz w:val="22"/>
          <w:szCs w:val="22"/>
        </w:rPr>
        <w:t>El IMSS podrá rescindir administrativamente el contrato sin más responsabilidad para el mismo y sin necesidad de resolución judicial, cuando el proveedor incurra en cualquiera de las causales que se señalan a continuación:</w:t>
      </w:r>
    </w:p>
    <w:p w14:paraId="0A45C333" w14:textId="77777777" w:rsidR="00F1219F" w:rsidRPr="00F1219F" w:rsidRDefault="00F1219F" w:rsidP="00F1219F">
      <w:pPr>
        <w:spacing w:line="264" w:lineRule="auto"/>
        <w:jc w:val="both"/>
        <w:rPr>
          <w:rFonts w:ascii="Geomanist" w:hAnsi="Geomanist"/>
          <w:sz w:val="22"/>
          <w:szCs w:val="22"/>
        </w:rPr>
      </w:pPr>
    </w:p>
    <w:p w14:paraId="315E44F5" w14:textId="77777777" w:rsidR="00F1219F" w:rsidRPr="00F1219F" w:rsidRDefault="00F1219F" w:rsidP="00F1219F">
      <w:pPr>
        <w:pStyle w:val="Prrafodelista"/>
        <w:numPr>
          <w:ilvl w:val="1"/>
          <w:numId w:val="45"/>
        </w:numPr>
        <w:spacing w:after="0" w:line="264" w:lineRule="auto"/>
        <w:contextualSpacing w:val="0"/>
        <w:jc w:val="both"/>
        <w:rPr>
          <w:rFonts w:ascii="Geomanist" w:hAnsi="Geomanist" w:cs="Arial"/>
          <w:bCs/>
          <w:lang w:val="es-ES"/>
        </w:rPr>
      </w:pPr>
      <w:r w:rsidRPr="00F1219F">
        <w:rPr>
          <w:rFonts w:ascii="Geomanist" w:hAnsi="Geomanist" w:cs="Arial"/>
          <w:lang w:val="es-ES"/>
        </w:rPr>
        <w:t xml:space="preserve">Cuando </w:t>
      </w:r>
      <w:r w:rsidRPr="00F1219F">
        <w:rPr>
          <w:rFonts w:ascii="Geomanist" w:hAnsi="Geomanist" w:cs="Arial"/>
          <w:bCs/>
          <w:lang w:val="es-ES"/>
        </w:rPr>
        <w:t>el licitante adjudicado no entregue la garantía de cumplimiento del contrato dentro del término de 10 (diez) días naturales posteriores a la firma de este.</w:t>
      </w:r>
    </w:p>
    <w:p w14:paraId="08884525" w14:textId="77777777" w:rsidR="00F1219F" w:rsidRPr="00F1219F" w:rsidRDefault="00F1219F" w:rsidP="00F1219F">
      <w:pPr>
        <w:pStyle w:val="Prrafodelista"/>
        <w:numPr>
          <w:ilvl w:val="1"/>
          <w:numId w:val="45"/>
        </w:numPr>
        <w:spacing w:after="0" w:line="264" w:lineRule="auto"/>
        <w:contextualSpacing w:val="0"/>
        <w:jc w:val="both"/>
        <w:rPr>
          <w:rFonts w:ascii="Geomanist" w:hAnsi="Geomanist" w:cs="Arial"/>
          <w:bCs/>
          <w:lang w:val="es-ES"/>
        </w:rPr>
      </w:pPr>
      <w:r w:rsidRPr="00F1219F">
        <w:rPr>
          <w:rFonts w:ascii="Geomanist" w:hAnsi="Geomanist" w:cs="Arial"/>
          <w:bCs/>
          <w:lang w:val="es-ES"/>
        </w:rPr>
        <w:t>Cuando se compruebe que el licitante adjudicado haya entregado el servicio con alcances o características distintas a las solicitadas.</w:t>
      </w:r>
    </w:p>
    <w:p w14:paraId="6ED1639F" w14:textId="77777777" w:rsidR="00F1219F" w:rsidRPr="00F1219F" w:rsidRDefault="00F1219F" w:rsidP="00F1219F">
      <w:pPr>
        <w:pStyle w:val="Prrafodelista"/>
        <w:numPr>
          <w:ilvl w:val="1"/>
          <w:numId w:val="45"/>
        </w:numPr>
        <w:spacing w:after="0" w:line="264" w:lineRule="auto"/>
        <w:contextualSpacing w:val="0"/>
        <w:jc w:val="both"/>
        <w:rPr>
          <w:rFonts w:ascii="Geomanist" w:hAnsi="Geomanist" w:cs="Arial"/>
          <w:bCs/>
          <w:lang w:val="es-ES"/>
        </w:rPr>
      </w:pPr>
      <w:r w:rsidRPr="00F1219F">
        <w:rPr>
          <w:rFonts w:ascii="Geomanist" w:hAnsi="Geomanist" w:cs="Arial"/>
          <w:bCs/>
          <w:lang w:val="es-ES"/>
        </w:rPr>
        <w:t>Cuando el licitante adjudicado incurra en falta de veracidad total o parcial respecto a la información proporcionada para la celebración del contrato.</w:t>
      </w:r>
    </w:p>
    <w:p w14:paraId="71E7BA07" w14:textId="77777777" w:rsidR="00F1219F" w:rsidRPr="00F1219F" w:rsidRDefault="00F1219F" w:rsidP="00F1219F">
      <w:pPr>
        <w:pStyle w:val="Prrafodelista"/>
        <w:numPr>
          <w:ilvl w:val="1"/>
          <w:numId w:val="45"/>
        </w:numPr>
        <w:spacing w:after="0" w:line="264" w:lineRule="auto"/>
        <w:contextualSpacing w:val="0"/>
        <w:jc w:val="both"/>
        <w:rPr>
          <w:rFonts w:ascii="Geomanist" w:hAnsi="Geomanist" w:cs="Arial"/>
          <w:bCs/>
          <w:lang w:val="es-ES"/>
        </w:rPr>
      </w:pPr>
      <w:r w:rsidRPr="00F1219F">
        <w:rPr>
          <w:rFonts w:ascii="Geomanist" w:hAnsi="Geomanist" w:cs="Arial"/>
          <w:bCs/>
          <w:lang w:val="es-ES"/>
        </w:rPr>
        <w:t>Cuando el licitante adjudicado incumpla, total o parcialmente, con cualesquiera de las obligaciones establecidas en el contrato y sus anexos.</w:t>
      </w:r>
    </w:p>
    <w:p w14:paraId="61D894B4" w14:textId="77777777" w:rsidR="00F1219F" w:rsidRPr="00F1219F" w:rsidRDefault="00F1219F" w:rsidP="00F1219F">
      <w:pPr>
        <w:pStyle w:val="Prrafodelista"/>
        <w:numPr>
          <w:ilvl w:val="1"/>
          <w:numId w:val="45"/>
        </w:numPr>
        <w:spacing w:after="0" w:line="264" w:lineRule="auto"/>
        <w:contextualSpacing w:val="0"/>
        <w:jc w:val="both"/>
        <w:rPr>
          <w:rFonts w:ascii="Geomanist" w:hAnsi="Geomanist" w:cs="Arial"/>
          <w:bCs/>
          <w:lang w:val="es-ES"/>
        </w:rPr>
      </w:pPr>
      <w:r w:rsidRPr="00F1219F">
        <w:rPr>
          <w:rFonts w:ascii="Geomanist" w:hAnsi="Geomanist" w:cs="Arial"/>
          <w:bCs/>
          <w:lang w:val="es-ES"/>
        </w:rPr>
        <w:t>Cuando se transmitan total o parcialmente, bajo cualquier título, los derechos y obligaciones a que se refiere el presente procedimiento, con excepción de los derechos de cobro, previa autorización del Instituto,</w:t>
      </w:r>
      <w:r w:rsidRPr="00F1219F">
        <w:rPr>
          <w:rFonts w:ascii="Geomanist" w:hAnsi="Geomanist" w:cs="Arial"/>
          <w:lang w:eastAsia="ar-SA"/>
        </w:rPr>
        <w:t xml:space="preserve"> en términos de lo dispuesto en el último párrafo del artículo 46 de la LAASSP</w:t>
      </w:r>
      <w:r w:rsidRPr="00F1219F">
        <w:rPr>
          <w:rFonts w:ascii="Geomanist" w:hAnsi="Geomanist" w:cs="Arial"/>
          <w:bCs/>
          <w:lang w:val="es-ES"/>
        </w:rPr>
        <w:t>.</w:t>
      </w:r>
    </w:p>
    <w:p w14:paraId="4CCDA876" w14:textId="77777777" w:rsidR="00F1219F" w:rsidRPr="00F1219F" w:rsidRDefault="00F1219F" w:rsidP="00F1219F">
      <w:pPr>
        <w:pStyle w:val="Prrafodelista"/>
        <w:numPr>
          <w:ilvl w:val="1"/>
          <w:numId w:val="45"/>
        </w:numPr>
        <w:spacing w:after="0" w:line="264" w:lineRule="auto"/>
        <w:contextualSpacing w:val="0"/>
        <w:jc w:val="both"/>
        <w:rPr>
          <w:rFonts w:ascii="Geomanist" w:hAnsi="Geomanist" w:cs="Arial"/>
          <w:bCs/>
          <w:lang w:val="es-ES"/>
        </w:rPr>
      </w:pPr>
      <w:r w:rsidRPr="00F1219F">
        <w:rPr>
          <w:rFonts w:ascii="Geomanist" w:hAnsi="Geomanist" w:cs="Arial"/>
          <w:bCs/>
          <w:lang w:val="es-ES"/>
        </w:rPr>
        <w:t>Si la autoridad competente declara el concurso mercantil o cualquier situación análoga o equivalente que afecte el patrimonio del licitante adjudicado.</w:t>
      </w:r>
    </w:p>
    <w:p w14:paraId="08C4A65D" w14:textId="77777777" w:rsidR="00F1219F" w:rsidRPr="00F1219F" w:rsidRDefault="00F1219F" w:rsidP="00F1219F">
      <w:pPr>
        <w:pStyle w:val="Prrafodelista"/>
        <w:numPr>
          <w:ilvl w:val="1"/>
          <w:numId w:val="45"/>
        </w:numPr>
        <w:spacing w:after="0" w:line="264" w:lineRule="auto"/>
        <w:contextualSpacing w:val="0"/>
        <w:jc w:val="both"/>
        <w:rPr>
          <w:rFonts w:ascii="Geomanist" w:hAnsi="Geomanist" w:cs="Arial"/>
          <w:lang w:val="es-ES"/>
        </w:rPr>
      </w:pPr>
      <w:r w:rsidRPr="00F1219F">
        <w:rPr>
          <w:rFonts w:ascii="Geomanist" w:hAnsi="Geomanist" w:cs="Arial"/>
          <w:bCs/>
          <w:lang w:val="es-ES"/>
        </w:rPr>
        <w:lastRenderedPageBreak/>
        <w:t>Cuando de manera reiterativa y constante el licitante adjudicado sea sancionado por parte del Instituto con penalizaciones o deducciones sobre el mismo concepto de los servicios que</w:t>
      </w:r>
      <w:r w:rsidRPr="00F1219F">
        <w:rPr>
          <w:rFonts w:ascii="Geomanist" w:hAnsi="Geomanist" w:cs="Arial"/>
          <w:lang w:val="es-ES"/>
        </w:rPr>
        <w:t xml:space="preserve"> proporciona al Instituto y con ello se afecten los intereses del Instituto.</w:t>
      </w:r>
    </w:p>
    <w:p w14:paraId="7B2EFC0C" w14:textId="77777777" w:rsidR="00F1219F" w:rsidRPr="00F1219F" w:rsidRDefault="00F1219F" w:rsidP="00F1219F">
      <w:pPr>
        <w:pStyle w:val="Prrafodelista"/>
        <w:numPr>
          <w:ilvl w:val="1"/>
          <w:numId w:val="45"/>
        </w:numPr>
        <w:spacing w:after="0" w:line="264" w:lineRule="auto"/>
        <w:contextualSpacing w:val="0"/>
        <w:jc w:val="both"/>
        <w:rPr>
          <w:rFonts w:ascii="Geomanist" w:hAnsi="Geomanist" w:cs="Arial"/>
          <w:lang w:val="es-ES"/>
        </w:rPr>
      </w:pPr>
      <w:r w:rsidRPr="00F1219F">
        <w:rPr>
          <w:rFonts w:ascii="Geomanist" w:hAnsi="Geomanist" w:cs="Arial"/>
          <w:lang w:val="es-ES"/>
        </w:rPr>
        <w:t xml:space="preserve">Si se sitúa en alguno de los supuestos previstos en el artículo 50 de la </w:t>
      </w:r>
      <w:r w:rsidRPr="00F1219F">
        <w:rPr>
          <w:rFonts w:ascii="Geomanist" w:hAnsi="Geomanist" w:cs="Times New Roman"/>
          <w:lang w:val="es-ES"/>
        </w:rPr>
        <w:t>LAASSP</w:t>
      </w:r>
      <w:r w:rsidRPr="00F1219F">
        <w:rPr>
          <w:rFonts w:ascii="Geomanist" w:hAnsi="Geomanist" w:cs="Arial"/>
          <w:lang w:val="es-ES"/>
        </w:rPr>
        <w:t>.</w:t>
      </w:r>
    </w:p>
    <w:p w14:paraId="54885663" w14:textId="77777777" w:rsidR="00F1219F" w:rsidRPr="00F1219F" w:rsidRDefault="00F1219F" w:rsidP="00F1219F">
      <w:pPr>
        <w:spacing w:line="264" w:lineRule="auto"/>
        <w:ind w:left="720"/>
        <w:contextualSpacing/>
        <w:jc w:val="both"/>
        <w:rPr>
          <w:rFonts w:ascii="Geomanist" w:eastAsia="Times New Roman" w:hAnsi="Geomanist" w:cs="Arial"/>
          <w:sz w:val="22"/>
          <w:szCs w:val="22"/>
        </w:rPr>
      </w:pPr>
    </w:p>
    <w:p w14:paraId="0D6701E3"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 xml:space="preserve">El Instituto podrá rescindir administrativamente, en cualquier momento, el (los) contrato(s) que, en su caso, se suscriba(n), cuando </w:t>
      </w:r>
      <w:r w:rsidRPr="00F1219F">
        <w:rPr>
          <w:rFonts w:ascii="Geomanist" w:eastAsiaTheme="minorHAnsi" w:hAnsi="Geomanist" w:cs="Arial"/>
          <w:bCs/>
          <w:sz w:val="22"/>
          <w:szCs w:val="22"/>
        </w:rPr>
        <w:t>el licitante</w:t>
      </w:r>
      <w:r w:rsidRPr="00F1219F">
        <w:rPr>
          <w:rFonts w:ascii="Geomanist" w:eastAsiaTheme="minorHAnsi" w:hAnsi="Geomanist" w:cs="Arial"/>
          <w:sz w:val="22"/>
          <w:szCs w:val="22"/>
        </w:rPr>
        <w:t xml:space="preserve"> adjudicado </w:t>
      </w:r>
      <w:r w:rsidRPr="00F1219F">
        <w:rPr>
          <w:rFonts w:ascii="Geomanist" w:hAnsi="Geomanist" w:cs="Times New Roman"/>
          <w:sz w:val="22"/>
          <w:szCs w:val="22"/>
        </w:rPr>
        <w:t>incurra en incumplimiento de cualesquiera de las obligaciones a su cargo, de conformidad con el procedimiento previsto en el artículo 54 de la LAASSP.</w:t>
      </w:r>
    </w:p>
    <w:p w14:paraId="43C026D9" w14:textId="77777777" w:rsidR="00F1219F" w:rsidRPr="00F1219F" w:rsidRDefault="00F1219F" w:rsidP="00F1219F">
      <w:pPr>
        <w:spacing w:line="264" w:lineRule="auto"/>
        <w:jc w:val="both"/>
        <w:rPr>
          <w:rFonts w:ascii="Geomanist" w:hAnsi="Geomanist"/>
        </w:rPr>
      </w:pPr>
    </w:p>
    <w:p w14:paraId="3D9F3450" w14:textId="77777777" w:rsidR="00F1219F" w:rsidRPr="00F1219F" w:rsidRDefault="00F1219F" w:rsidP="00F1219F">
      <w:pPr>
        <w:pStyle w:val="Ttulo2"/>
        <w:spacing w:before="0" w:line="264" w:lineRule="auto"/>
        <w:ind w:left="578" w:hanging="578"/>
        <w:rPr>
          <w:rFonts w:ascii="Geomanist" w:hAnsi="Geomanist"/>
          <w:color w:val="000000" w:themeColor="text1"/>
          <w:sz w:val="22"/>
          <w:szCs w:val="22"/>
        </w:rPr>
      </w:pPr>
      <w:r w:rsidRPr="00F1219F">
        <w:rPr>
          <w:rFonts w:ascii="Geomanist" w:hAnsi="Geomanist"/>
          <w:color w:val="000000" w:themeColor="text1"/>
          <w:sz w:val="22"/>
          <w:szCs w:val="22"/>
        </w:rPr>
        <w:t>Procedimiento de rescisión</w:t>
      </w:r>
    </w:p>
    <w:p w14:paraId="1FA6C6F8" w14:textId="77777777" w:rsidR="00F1219F" w:rsidRPr="00F1219F" w:rsidRDefault="00F1219F" w:rsidP="00F1219F">
      <w:pPr>
        <w:spacing w:line="264" w:lineRule="auto"/>
        <w:rPr>
          <w:rFonts w:ascii="Geomanist" w:hAnsi="Geomanist" w:cs="Arial"/>
          <w:sz w:val="22"/>
          <w:szCs w:val="22"/>
        </w:rPr>
      </w:pPr>
    </w:p>
    <w:p w14:paraId="5C2BCCC4" w14:textId="77777777" w:rsidR="00F1219F" w:rsidRPr="00F1219F" w:rsidRDefault="00F1219F" w:rsidP="00F1219F">
      <w:pPr>
        <w:suppressAutoHyphens/>
        <w:autoSpaceDE w:val="0"/>
        <w:spacing w:line="264" w:lineRule="auto"/>
        <w:contextualSpacing/>
        <w:jc w:val="both"/>
        <w:rPr>
          <w:rFonts w:ascii="Geomanist" w:hAnsi="Geomanist" w:cs="Arial"/>
          <w:sz w:val="22"/>
          <w:szCs w:val="22"/>
          <w:lang w:eastAsia="ar-SA"/>
        </w:rPr>
      </w:pPr>
      <w:r w:rsidRPr="00F1219F">
        <w:rPr>
          <w:rFonts w:ascii="Geomanist" w:hAnsi="Geomanist" w:cs="Arial"/>
          <w:sz w:val="22"/>
          <w:szCs w:val="22"/>
          <w:lang w:eastAsia="ar-SA"/>
        </w:rPr>
        <w:t xml:space="preserve">En caso de optar por la rescisión del contrato </w:t>
      </w:r>
      <w:r w:rsidRPr="00F1219F">
        <w:rPr>
          <w:rFonts w:ascii="Geomanist" w:hAnsi="Geomanist" w:cs="Times New Roman"/>
          <w:sz w:val="22"/>
          <w:szCs w:val="22"/>
        </w:rPr>
        <w:t>de prestación de servicio</w:t>
      </w:r>
      <w:r w:rsidRPr="00F1219F">
        <w:rPr>
          <w:rFonts w:ascii="Geomanist" w:hAnsi="Geomanist" w:cs="Arial"/>
          <w:sz w:val="22"/>
          <w:szCs w:val="22"/>
          <w:lang w:eastAsia="ar-SA"/>
        </w:rPr>
        <w:t>, el IMSS procederá a iniciar el procedimiento de rescisión que establece el artículo 54 de la LAASSP vigente, a partir de que</w:t>
      </w:r>
      <w:r w:rsidRPr="00F1219F">
        <w:rPr>
          <w:rFonts w:ascii="Geomanist" w:hAnsi="Geomanist" w:cs="Arial"/>
          <w:b/>
          <w:sz w:val="22"/>
          <w:szCs w:val="22"/>
          <w:lang w:eastAsia="ar-SA"/>
        </w:rPr>
        <w:t xml:space="preserve"> </w:t>
      </w:r>
      <w:r w:rsidRPr="00F1219F">
        <w:rPr>
          <w:rFonts w:ascii="Geomanist" w:hAnsi="Geomanist" w:cs="Arial"/>
          <w:sz w:val="22"/>
          <w:szCs w:val="22"/>
          <w:lang w:eastAsia="ar-SA"/>
        </w:rPr>
        <w:t>al proveedor le sea comunicado por escrito el incumplimiento</w:t>
      </w:r>
      <w:r w:rsidRPr="00F1219F">
        <w:rPr>
          <w:rFonts w:ascii="Geomanist" w:hAnsi="Geomanist" w:cs="Arial"/>
          <w:b/>
          <w:sz w:val="22"/>
          <w:szCs w:val="22"/>
          <w:lang w:eastAsia="ar-SA"/>
        </w:rPr>
        <w:t xml:space="preserve"> </w:t>
      </w:r>
      <w:r w:rsidRPr="00F1219F">
        <w:rPr>
          <w:rFonts w:ascii="Geomanist" w:hAnsi="Geomanist" w:cs="Arial"/>
          <w:sz w:val="22"/>
          <w:szCs w:val="22"/>
          <w:lang w:eastAsia="ar-SA"/>
        </w:rPr>
        <w:t>en que haya incurrido, para que en un término de 5 (cinco) días hábiles exponga lo que a su derecho convenga y aporte, en su caso, las pruebas que estime pertinentes.</w:t>
      </w:r>
    </w:p>
    <w:p w14:paraId="175B6FA5" w14:textId="77777777" w:rsidR="00F1219F" w:rsidRPr="00F1219F" w:rsidRDefault="00F1219F" w:rsidP="00F1219F">
      <w:pPr>
        <w:suppressAutoHyphens/>
        <w:autoSpaceDE w:val="0"/>
        <w:spacing w:line="264" w:lineRule="auto"/>
        <w:contextualSpacing/>
        <w:jc w:val="both"/>
        <w:rPr>
          <w:rFonts w:ascii="Geomanist" w:hAnsi="Geomanist" w:cs="Arial"/>
          <w:sz w:val="22"/>
          <w:szCs w:val="22"/>
          <w:lang w:eastAsia="ar-SA"/>
        </w:rPr>
      </w:pPr>
    </w:p>
    <w:p w14:paraId="29D6CAC2" w14:textId="77777777" w:rsidR="00F1219F" w:rsidRPr="00F1219F" w:rsidRDefault="00F1219F" w:rsidP="00F1219F">
      <w:pPr>
        <w:tabs>
          <w:tab w:val="left" w:pos="-142"/>
          <w:tab w:val="left" w:pos="1134"/>
        </w:tabs>
        <w:suppressAutoHyphens/>
        <w:overflowPunct w:val="0"/>
        <w:autoSpaceDE w:val="0"/>
        <w:spacing w:line="264" w:lineRule="auto"/>
        <w:ind w:right="-93"/>
        <w:jc w:val="both"/>
        <w:textAlignment w:val="baseline"/>
        <w:rPr>
          <w:rFonts w:ascii="Geomanist" w:hAnsi="Geomanist" w:cs="Arial"/>
          <w:sz w:val="22"/>
          <w:szCs w:val="22"/>
          <w:lang w:eastAsia="ar-SA"/>
        </w:rPr>
      </w:pPr>
      <w:r w:rsidRPr="00F1219F">
        <w:rPr>
          <w:rFonts w:ascii="Geomanist" w:hAnsi="Geomanist" w:cs="Arial"/>
          <w:sz w:val="22"/>
          <w:szCs w:val="22"/>
          <w:lang w:eastAsia="ar-SA"/>
        </w:rPr>
        <w:t>Transcurrido el término señalado en el párrafo anterior, el Instituto resolverá considerando los argumentos y pruebas que se hubieren hecho valer.</w:t>
      </w:r>
    </w:p>
    <w:p w14:paraId="302D48B2" w14:textId="77777777" w:rsidR="00F1219F" w:rsidRPr="00F1219F" w:rsidRDefault="00F1219F" w:rsidP="00F1219F">
      <w:pPr>
        <w:tabs>
          <w:tab w:val="left" w:pos="-142"/>
          <w:tab w:val="left" w:pos="1134"/>
        </w:tabs>
        <w:suppressAutoHyphens/>
        <w:overflowPunct w:val="0"/>
        <w:autoSpaceDE w:val="0"/>
        <w:spacing w:line="264" w:lineRule="auto"/>
        <w:ind w:right="-93"/>
        <w:jc w:val="both"/>
        <w:textAlignment w:val="baseline"/>
        <w:rPr>
          <w:rFonts w:ascii="Geomanist" w:hAnsi="Geomanist" w:cs="Arial"/>
          <w:sz w:val="22"/>
          <w:szCs w:val="22"/>
          <w:lang w:eastAsia="ar-SA"/>
        </w:rPr>
      </w:pPr>
    </w:p>
    <w:p w14:paraId="544AB4CC" w14:textId="77777777" w:rsidR="00F1219F" w:rsidRPr="00F1219F" w:rsidRDefault="00F1219F" w:rsidP="00F1219F">
      <w:pPr>
        <w:tabs>
          <w:tab w:val="left" w:pos="-142"/>
          <w:tab w:val="left" w:pos="1134"/>
        </w:tabs>
        <w:suppressAutoHyphens/>
        <w:overflowPunct w:val="0"/>
        <w:autoSpaceDE w:val="0"/>
        <w:spacing w:line="264" w:lineRule="auto"/>
        <w:ind w:right="-93"/>
        <w:jc w:val="both"/>
        <w:textAlignment w:val="baseline"/>
        <w:rPr>
          <w:rFonts w:ascii="Geomanist" w:hAnsi="Geomanist" w:cs="Arial"/>
          <w:sz w:val="22"/>
          <w:szCs w:val="22"/>
          <w:lang w:eastAsia="ar-SA"/>
        </w:rPr>
      </w:pPr>
      <w:r w:rsidRPr="00F1219F">
        <w:rPr>
          <w:rFonts w:ascii="Geomanist" w:hAnsi="Geomanist" w:cs="Arial"/>
          <w:sz w:val="22"/>
          <w:szCs w:val="22"/>
          <w:lang w:eastAsia="ar-SA"/>
        </w:rPr>
        <w:t xml:space="preserve">La determinación de dar o no por rescindido administrativamente el contrato </w:t>
      </w:r>
      <w:r w:rsidRPr="00F1219F">
        <w:rPr>
          <w:rFonts w:ascii="Geomanist" w:hAnsi="Geomanist" w:cs="Times New Roman"/>
          <w:sz w:val="22"/>
          <w:szCs w:val="22"/>
        </w:rPr>
        <w:t xml:space="preserve">de prestación de servicio </w:t>
      </w:r>
      <w:r w:rsidRPr="00F1219F">
        <w:rPr>
          <w:rFonts w:ascii="Geomanist" w:hAnsi="Geomanist" w:cs="Arial"/>
          <w:sz w:val="22"/>
          <w:szCs w:val="22"/>
          <w:lang w:eastAsia="ar-SA"/>
        </w:rPr>
        <w:t>deberá ser debidamente fundada, motivada y comunicada por escrito al proveedor dentro de los 15 (quince) días hábiles siguientes, contados a partir del día siguiente a aquel en que concluya el plazo señalado en el primer párrafo de este numeral.</w:t>
      </w:r>
    </w:p>
    <w:p w14:paraId="5106D1AC" w14:textId="77777777" w:rsidR="00F1219F" w:rsidRPr="00F1219F" w:rsidRDefault="00F1219F" w:rsidP="00F1219F">
      <w:pPr>
        <w:tabs>
          <w:tab w:val="left" w:pos="-142"/>
          <w:tab w:val="left" w:pos="1134"/>
        </w:tabs>
        <w:suppressAutoHyphens/>
        <w:overflowPunct w:val="0"/>
        <w:autoSpaceDE w:val="0"/>
        <w:spacing w:line="264" w:lineRule="auto"/>
        <w:ind w:right="-93"/>
        <w:jc w:val="both"/>
        <w:textAlignment w:val="baseline"/>
        <w:rPr>
          <w:rFonts w:ascii="Geomanist" w:hAnsi="Geomanist" w:cs="Arial"/>
          <w:sz w:val="22"/>
          <w:szCs w:val="22"/>
          <w:lang w:eastAsia="ar-SA"/>
        </w:rPr>
      </w:pPr>
    </w:p>
    <w:p w14:paraId="0DA68BFA"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r w:rsidRPr="00F1219F">
        <w:rPr>
          <w:rFonts w:ascii="Geomanist" w:hAnsi="Geomanist" w:cs="Arial"/>
          <w:sz w:val="22"/>
          <w:szCs w:val="22"/>
          <w:lang w:eastAsia="ar-SA"/>
        </w:rPr>
        <w:t xml:space="preserve">Cuando se rescinda el contrato </w:t>
      </w:r>
      <w:r w:rsidRPr="00F1219F">
        <w:rPr>
          <w:rFonts w:ascii="Geomanist" w:hAnsi="Geomanist" w:cs="Times New Roman"/>
          <w:sz w:val="22"/>
          <w:szCs w:val="22"/>
        </w:rPr>
        <w:t xml:space="preserve">de prestación de servicio, </w:t>
      </w:r>
      <w:r w:rsidRPr="00F1219F">
        <w:rPr>
          <w:rFonts w:ascii="Geomanist" w:hAnsi="Geomanist" w:cs="Arial"/>
          <w:sz w:val="22"/>
          <w:szCs w:val="22"/>
          <w:lang w:eastAsia="ar-SA"/>
        </w:rPr>
        <w:t>se formulará el finiquito correspondiente, a efecto de hacer constar los pagos que deba efectuar el Instituto por concepto de los servicios prestados hasta el momento de la rescisión.</w:t>
      </w:r>
    </w:p>
    <w:p w14:paraId="4954BD27"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p>
    <w:p w14:paraId="52E95802"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r w:rsidRPr="00F1219F">
        <w:rPr>
          <w:rFonts w:ascii="Geomanist" w:hAnsi="Geomanist" w:cs="Arial"/>
          <w:sz w:val="22"/>
          <w:szCs w:val="22"/>
          <w:lang w:eastAsia="ar-SA"/>
        </w:rPr>
        <w:t>En el supuesto de que el incumplimiento por parte del proveedor no derive del atraso en la prestación del servicio, el IMSS podrá iniciar el procedimiento de rescisión administrativa en cualquier momento posterior al incumplimiento.</w:t>
      </w:r>
    </w:p>
    <w:p w14:paraId="5CE23292"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p>
    <w:p w14:paraId="6CBAEFD1"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r w:rsidRPr="00F1219F">
        <w:rPr>
          <w:rFonts w:ascii="Geomanist" w:hAnsi="Geomanist" w:cs="Arial"/>
          <w:sz w:val="22"/>
          <w:szCs w:val="22"/>
          <w:lang w:eastAsia="ar-SA"/>
        </w:rPr>
        <w:t xml:space="preserve">Si previamente a la determinación de dar por rescindido el contrato, se prestaren los servicios, el procedimiento iniciado quedará sin efecto, previa aceptación y verificación del IMSS, </w:t>
      </w:r>
      <w:r w:rsidRPr="00F1219F">
        <w:rPr>
          <w:rFonts w:ascii="Geomanist" w:hAnsi="Geomanist" w:cs="Arial"/>
          <w:bCs/>
          <w:sz w:val="22"/>
          <w:szCs w:val="22"/>
          <w:lang w:eastAsia="ar-SA"/>
        </w:rPr>
        <w:t>de</w:t>
      </w:r>
      <w:r w:rsidRPr="00F1219F">
        <w:rPr>
          <w:rFonts w:ascii="Geomanist" w:hAnsi="Geomanist" w:cs="Arial"/>
          <w:b/>
          <w:sz w:val="22"/>
          <w:szCs w:val="22"/>
          <w:lang w:eastAsia="ar-SA"/>
        </w:rPr>
        <w:t xml:space="preserve"> </w:t>
      </w:r>
      <w:r w:rsidRPr="00F1219F">
        <w:rPr>
          <w:rFonts w:ascii="Geomanist" w:hAnsi="Geomanist" w:cs="Arial"/>
          <w:sz w:val="22"/>
          <w:szCs w:val="22"/>
          <w:lang w:eastAsia="ar-SA"/>
        </w:rPr>
        <w:t>que continúa vigente la necesidad de estos y aplicando, en su caso, las penas convencionales correspondientes.</w:t>
      </w:r>
    </w:p>
    <w:p w14:paraId="5A8F0A87"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p>
    <w:p w14:paraId="3C93C292"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r w:rsidRPr="00F1219F">
        <w:rPr>
          <w:rFonts w:ascii="Geomanist" w:hAnsi="Geomanist" w:cs="Arial"/>
          <w:sz w:val="22"/>
          <w:szCs w:val="22"/>
          <w:lang w:eastAsia="ar-SA"/>
        </w:rPr>
        <w:lastRenderedPageBreak/>
        <w:t>El IMSS podrá determinar no dar por rescindido el contrato, cuando durante el procedimiento advierta que la rescisión del contrato correspondiente a la partida adjudicada pudiera ocasionar algún daño o afectación a las funciones que tiene encomendadas. En este supuesto, deberá elaborar un dictamen en el cual justifique que los impactos económicos o de operación que se ocasionarían con la rescisión del contrato resultarían más inconvenientes.</w:t>
      </w:r>
    </w:p>
    <w:p w14:paraId="0B9C399A"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p>
    <w:p w14:paraId="035A8544"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r w:rsidRPr="00F1219F">
        <w:rPr>
          <w:rFonts w:ascii="Geomanist" w:hAnsi="Geomanist" w:cs="Arial"/>
          <w:sz w:val="22"/>
          <w:szCs w:val="22"/>
          <w:lang w:eastAsia="ar-SA"/>
        </w:rPr>
        <w:t xml:space="preserve">Al no dar por rescindido el contrato </w:t>
      </w:r>
      <w:r w:rsidRPr="00F1219F">
        <w:rPr>
          <w:rFonts w:ascii="Geomanist" w:hAnsi="Geomanist" w:cs="Times New Roman"/>
          <w:sz w:val="22"/>
          <w:szCs w:val="22"/>
        </w:rPr>
        <w:t>de prestación de servicio</w:t>
      </w:r>
      <w:r w:rsidRPr="00F1219F">
        <w:rPr>
          <w:rFonts w:ascii="Geomanist" w:hAnsi="Geomanist" w:cs="Arial"/>
          <w:sz w:val="22"/>
          <w:szCs w:val="22"/>
          <w:lang w:eastAsia="ar-SA"/>
        </w:rPr>
        <w:t>, el IMSS</w:t>
      </w:r>
      <w:r w:rsidRPr="00F1219F">
        <w:rPr>
          <w:rFonts w:ascii="Geomanist" w:hAnsi="Geomanist" w:cs="Arial"/>
          <w:b/>
          <w:sz w:val="22"/>
          <w:szCs w:val="22"/>
          <w:lang w:eastAsia="ar-SA"/>
        </w:rPr>
        <w:t xml:space="preserve"> </w:t>
      </w:r>
      <w:r w:rsidRPr="00F1219F">
        <w:rPr>
          <w:rFonts w:ascii="Geomanist" w:hAnsi="Geomanist" w:cs="Arial"/>
          <w:sz w:val="22"/>
          <w:szCs w:val="22"/>
          <w:lang w:eastAsia="ar-SA"/>
        </w:rPr>
        <w:t>establecerá con el proveedor otro plazo que le permita subsanar el incumplimiento que hubiere motivado el inicio del procedimiento.</w:t>
      </w:r>
    </w:p>
    <w:p w14:paraId="42B73DA5"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p>
    <w:p w14:paraId="0AC4C8C6"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r w:rsidRPr="00F1219F">
        <w:rPr>
          <w:rFonts w:ascii="Geomanist" w:hAnsi="Geomanist" w:cs="Arial"/>
          <w:sz w:val="22"/>
          <w:szCs w:val="22"/>
          <w:lang w:eastAsia="ar-SA"/>
        </w:rPr>
        <w:t>El convenio modificatorio que al efecto se celebre deberá atender a las condiciones previstas por los dos últimos párrafos del artículo 52 de la LAASSP.</w:t>
      </w:r>
    </w:p>
    <w:p w14:paraId="3A5701A3"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p>
    <w:p w14:paraId="36E69C69" w14:textId="77777777" w:rsidR="00F1219F" w:rsidRPr="00F1219F" w:rsidRDefault="00F1219F" w:rsidP="00F1219F">
      <w:pPr>
        <w:pStyle w:val="Ttulo2"/>
        <w:spacing w:before="0" w:line="264" w:lineRule="auto"/>
        <w:ind w:left="578" w:hanging="578"/>
        <w:rPr>
          <w:rFonts w:ascii="Geomanist" w:hAnsi="Geomanist"/>
          <w:color w:val="000000" w:themeColor="text1"/>
          <w:sz w:val="22"/>
          <w:szCs w:val="22"/>
        </w:rPr>
      </w:pPr>
      <w:r w:rsidRPr="00F1219F">
        <w:rPr>
          <w:rFonts w:ascii="Geomanist" w:hAnsi="Geomanist"/>
          <w:color w:val="000000" w:themeColor="text1"/>
          <w:sz w:val="22"/>
          <w:szCs w:val="22"/>
        </w:rPr>
        <w:t>Confidencialidad</w:t>
      </w:r>
    </w:p>
    <w:p w14:paraId="480B4BF3" w14:textId="77777777" w:rsidR="00F1219F" w:rsidRPr="00F1219F" w:rsidRDefault="00F1219F" w:rsidP="00F1219F">
      <w:pPr>
        <w:suppressAutoHyphens/>
        <w:autoSpaceDE w:val="0"/>
        <w:spacing w:line="264" w:lineRule="auto"/>
        <w:contextualSpacing/>
        <w:jc w:val="both"/>
        <w:rPr>
          <w:rFonts w:ascii="Geomanist" w:hAnsi="Geomanist" w:cs="Arial"/>
          <w:bCs/>
          <w:sz w:val="22"/>
          <w:szCs w:val="22"/>
          <w:lang w:eastAsia="ar-SA"/>
        </w:rPr>
      </w:pPr>
    </w:p>
    <w:p w14:paraId="746D8104" w14:textId="77777777" w:rsidR="00F1219F" w:rsidRPr="00F1219F" w:rsidRDefault="00F1219F" w:rsidP="00F1219F">
      <w:pPr>
        <w:suppressAutoHyphens/>
        <w:autoSpaceDE w:val="0"/>
        <w:spacing w:line="264" w:lineRule="auto"/>
        <w:contextualSpacing/>
        <w:jc w:val="both"/>
        <w:rPr>
          <w:rFonts w:ascii="Geomanist" w:hAnsi="Geomanist" w:cs="Arial"/>
          <w:sz w:val="22"/>
          <w:szCs w:val="22"/>
          <w:lang w:eastAsia="ar-SA"/>
        </w:rPr>
      </w:pPr>
      <w:r w:rsidRPr="00F1219F">
        <w:rPr>
          <w:rFonts w:ascii="Geomanist" w:hAnsi="Geomanist" w:cs="Arial"/>
          <w:sz w:val="22"/>
          <w:szCs w:val="22"/>
          <w:lang w:eastAsia="ar-SA"/>
        </w:rPr>
        <w:t>Las partes convienen en considerar como información reservada y confidencial, de acuerdo con lo dispuesto por los artículos 110 y 113 de la Ley Federal de Transparencia y Acceso a la Información Pública, todos los datos, conversaciones telefónicas, mensajes de audio, mensajes de grabadoras, cintas magnéticas, programas de cómputo, disquetes o cualquier otro material o medio que contenga información jurídica, operativa, técnica, financiera o de análisis, registros, documentos, especificaciones, productos, informes, dictámenes y desarrollos a que tenga acceso o que le sean proporcionados por el IMSS.</w:t>
      </w:r>
    </w:p>
    <w:p w14:paraId="27FB6B31" w14:textId="77777777" w:rsidR="00F1219F" w:rsidRPr="00F1219F" w:rsidRDefault="00F1219F" w:rsidP="00F1219F">
      <w:pPr>
        <w:suppressAutoHyphens/>
        <w:autoSpaceDE w:val="0"/>
        <w:spacing w:line="264" w:lineRule="auto"/>
        <w:contextualSpacing/>
        <w:jc w:val="both"/>
        <w:rPr>
          <w:rFonts w:ascii="Geomanist" w:hAnsi="Geomanist" w:cs="Arial"/>
          <w:sz w:val="22"/>
          <w:szCs w:val="22"/>
          <w:lang w:eastAsia="ar-SA"/>
        </w:rPr>
      </w:pPr>
    </w:p>
    <w:p w14:paraId="734C10A3"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r w:rsidRPr="00F1219F">
        <w:rPr>
          <w:rFonts w:ascii="Geomanist" w:hAnsi="Geomanist" w:cs="Arial"/>
          <w:sz w:val="22"/>
          <w:szCs w:val="22"/>
          <w:lang w:eastAsia="ar-SA"/>
        </w:rPr>
        <w:t>De igual forma será considerada como confidencial la información derivada de la ejecución del servicio que preste el proveedor al IMSS, y que sea propiedad exclusiva de éste.</w:t>
      </w:r>
    </w:p>
    <w:p w14:paraId="48273540"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p>
    <w:p w14:paraId="2332B1CB"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r w:rsidRPr="00F1219F">
        <w:rPr>
          <w:rFonts w:ascii="Geomanist" w:hAnsi="Geomanist" w:cs="Arial"/>
          <w:sz w:val="22"/>
          <w:szCs w:val="22"/>
          <w:lang w:eastAsia="ar-SA"/>
        </w:rPr>
        <w:t>Por lo anterior, el proveedor reconoce que queda prohibida la difusión y/o utilización total o parcial en su favor o de terceros ajenos a la relación contractual, por cualquier medio, entre otros, de manera enunciativa más no limitativa: vía oral, impresa, electrónica, magnética, óptica y, en general, por ningún medio conocido o por desarrollar, conforme a lo establecido en la Ley Federal de Protección de Datos Personales en Posesión de los Particulares y la Ley Federal de Transparencia y Acceso a la Información Pública.</w:t>
      </w:r>
    </w:p>
    <w:p w14:paraId="6ADB6E8B"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p>
    <w:p w14:paraId="7F2CB45E"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r w:rsidRPr="00F1219F">
        <w:rPr>
          <w:rFonts w:ascii="Geomanist" w:hAnsi="Geomanist" w:cs="Arial"/>
          <w:sz w:val="22"/>
          <w:szCs w:val="22"/>
          <w:lang w:eastAsia="ar-SA"/>
        </w:rPr>
        <w:t>En este sentido, acepta que la prohibición señalada en el párrafo anterior, comprende en forma enunciativa más no limitativa, que no se podrá llevar a cabo la difusión de la información con fines de lucro, comerciales, académicos, educativos o por cualquier otro medio, por lo que el proveedor se responsabiliza del uso y cuidado de la información a nombre propio y de las personas que formen parte, en su caso, de la participación conjunta, así como del personal directivo, administrativo y operativo que las conformen.</w:t>
      </w:r>
    </w:p>
    <w:p w14:paraId="71106D50"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p>
    <w:p w14:paraId="1E3E76F2"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r w:rsidRPr="00F1219F">
        <w:rPr>
          <w:rFonts w:ascii="Geomanist" w:hAnsi="Geomanist" w:cs="Arial"/>
          <w:sz w:val="22"/>
          <w:szCs w:val="22"/>
          <w:lang w:eastAsia="ar-SA"/>
        </w:rPr>
        <w:t xml:space="preserve">Por lo expuesto, el </w:t>
      </w:r>
      <w:r w:rsidRPr="00F1219F">
        <w:rPr>
          <w:rFonts w:ascii="Geomanist" w:hAnsi="Geomanist" w:cs="Arial"/>
          <w:bCs/>
          <w:sz w:val="22"/>
          <w:szCs w:val="22"/>
          <w:lang w:eastAsia="ar-SA"/>
        </w:rPr>
        <w:t>licitante</w:t>
      </w:r>
      <w:r w:rsidRPr="00F1219F">
        <w:rPr>
          <w:rFonts w:ascii="Geomanist" w:hAnsi="Geomanist" w:cs="Arial"/>
          <w:b/>
          <w:sz w:val="22"/>
          <w:szCs w:val="22"/>
          <w:lang w:eastAsia="ar-SA"/>
        </w:rPr>
        <w:t xml:space="preserve"> </w:t>
      </w:r>
      <w:r w:rsidRPr="00F1219F">
        <w:rPr>
          <w:rFonts w:ascii="Geomanist" w:hAnsi="Geomanist" w:cs="Arial"/>
          <w:sz w:val="22"/>
          <w:szCs w:val="22"/>
          <w:lang w:eastAsia="ar-SA"/>
        </w:rPr>
        <w:t>adjudicado en cada una de las partidas 1, 2 y 3 se obliga expresamente a lo siguiente:</w:t>
      </w:r>
    </w:p>
    <w:p w14:paraId="5D65F682"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p>
    <w:p w14:paraId="2BAEB5D7" w14:textId="77777777" w:rsidR="00F1219F" w:rsidRPr="00F1219F" w:rsidRDefault="00F1219F" w:rsidP="00F1219F">
      <w:pPr>
        <w:numPr>
          <w:ilvl w:val="0"/>
          <w:numId w:val="42"/>
        </w:numPr>
        <w:suppressAutoHyphens/>
        <w:autoSpaceDE w:val="0"/>
        <w:spacing w:line="264" w:lineRule="auto"/>
        <w:ind w:left="709" w:hanging="425"/>
        <w:jc w:val="both"/>
        <w:rPr>
          <w:rFonts w:ascii="Geomanist" w:hAnsi="Geomanist" w:cs="Arial"/>
          <w:sz w:val="22"/>
          <w:szCs w:val="22"/>
          <w:lang w:eastAsia="ar-SA"/>
        </w:rPr>
      </w:pPr>
      <w:r w:rsidRPr="00F1219F">
        <w:rPr>
          <w:rFonts w:ascii="Geomanist" w:hAnsi="Geomanist" w:cs="Arial"/>
          <w:sz w:val="22"/>
          <w:szCs w:val="22"/>
          <w:lang w:eastAsia="ar-SA"/>
        </w:rPr>
        <w:t xml:space="preserve">Utilizar toda la información a que tenga acceso o generada con motivo de la prestación del servicio, únicamente para cumplimentar el objeto que se establece en el Anexo Técnico </w:t>
      </w:r>
      <w:r w:rsidRPr="00F1219F">
        <w:rPr>
          <w:rFonts w:ascii="Geomanist" w:hAnsi="Geomanist" w:cs="Times New Roman"/>
          <w:sz w:val="22"/>
          <w:szCs w:val="22"/>
        </w:rPr>
        <w:t>que se incluye en el Anexo Número 1 (UNO) de la convocatoria</w:t>
      </w:r>
      <w:r w:rsidRPr="00F1219F">
        <w:rPr>
          <w:rFonts w:ascii="Geomanist" w:hAnsi="Geomanist" w:cs="Arial"/>
          <w:sz w:val="22"/>
          <w:szCs w:val="22"/>
          <w:lang w:eastAsia="ar-SA"/>
        </w:rPr>
        <w:t>.</w:t>
      </w:r>
    </w:p>
    <w:p w14:paraId="6882C00F" w14:textId="77777777" w:rsidR="00F1219F" w:rsidRPr="00F1219F" w:rsidRDefault="00F1219F" w:rsidP="00F1219F">
      <w:pPr>
        <w:numPr>
          <w:ilvl w:val="0"/>
          <w:numId w:val="42"/>
        </w:numPr>
        <w:suppressAutoHyphens/>
        <w:autoSpaceDE w:val="0"/>
        <w:spacing w:line="264" w:lineRule="auto"/>
        <w:ind w:left="709" w:hanging="425"/>
        <w:jc w:val="both"/>
        <w:rPr>
          <w:rFonts w:ascii="Geomanist" w:hAnsi="Geomanist" w:cs="Arial"/>
          <w:sz w:val="22"/>
          <w:szCs w:val="22"/>
          <w:lang w:eastAsia="ar-SA"/>
        </w:rPr>
      </w:pPr>
      <w:r w:rsidRPr="00F1219F">
        <w:rPr>
          <w:rFonts w:ascii="Geomanist" w:hAnsi="Geomanist" w:cs="Arial"/>
          <w:sz w:val="22"/>
          <w:szCs w:val="22"/>
          <w:lang w:eastAsia="ar-SA"/>
        </w:rPr>
        <w:t>Limitar la revelación de la información y documentación a que tenga acceso, únicamente a las personas que dentro de su propia organización se encuentren autorizadas para conocerla, y se hace responsable del uso que dichas personas puedan hacer de la misma.</w:t>
      </w:r>
    </w:p>
    <w:p w14:paraId="7B0F002C" w14:textId="77777777" w:rsidR="00F1219F" w:rsidRPr="00F1219F" w:rsidRDefault="00F1219F" w:rsidP="00F1219F">
      <w:pPr>
        <w:numPr>
          <w:ilvl w:val="0"/>
          <w:numId w:val="42"/>
        </w:numPr>
        <w:suppressAutoHyphens/>
        <w:autoSpaceDE w:val="0"/>
        <w:spacing w:line="264" w:lineRule="auto"/>
        <w:ind w:left="709" w:hanging="425"/>
        <w:jc w:val="both"/>
        <w:rPr>
          <w:rFonts w:ascii="Geomanist" w:hAnsi="Geomanist" w:cs="Arial"/>
          <w:sz w:val="22"/>
          <w:szCs w:val="22"/>
          <w:lang w:eastAsia="ar-SA"/>
        </w:rPr>
      </w:pPr>
      <w:r w:rsidRPr="00F1219F">
        <w:rPr>
          <w:rFonts w:ascii="Geomanist" w:hAnsi="Geomanist" w:cs="Arial"/>
          <w:sz w:val="22"/>
          <w:szCs w:val="22"/>
          <w:lang w:eastAsia="ar-SA"/>
        </w:rPr>
        <w:t>No hacer copias de la información, sin la autorización previa y por escrito del IMSS.</w:t>
      </w:r>
    </w:p>
    <w:p w14:paraId="09869A70" w14:textId="77777777" w:rsidR="00F1219F" w:rsidRPr="00F1219F" w:rsidRDefault="00F1219F" w:rsidP="00F1219F">
      <w:pPr>
        <w:numPr>
          <w:ilvl w:val="0"/>
          <w:numId w:val="42"/>
        </w:numPr>
        <w:suppressAutoHyphens/>
        <w:autoSpaceDE w:val="0"/>
        <w:spacing w:line="264" w:lineRule="auto"/>
        <w:ind w:left="709" w:hanging="425"/>
        <w:jc w:val="both"/>
        <w:rPr>
          <w:rFonts w:ascii="Geomanist" w:hAnsi="Geomanist" w:cs="Arial"/>
          <w:sz w:val="22"/>
          <w:szCs w:val="22"/>
          <w:lang w:eastAsia="ar-SA"/>
        </w:rPr>
      </w:pPr>
      <w:r w:rsidRPr="00F1219F">
        <w:rPr>
          <w:rFonts w:ascii="Geomanist" w:hAnsi="Geomanist" w:cs="Arial"/>
          <w:sz w:val="22"/>
          <w:szCs w:val="22"/>
          <w:lang w:eastAsia="ar-SA"/>
        </w:rPr>
        <w:t>No revelar a ningún tercero la información, sin la previa autorización por escrito del IMSS.</w:t>
      </w:r>
    </w:p>
    <w:p w14:paraId="0BDF774F" w14:textId="77777777" w:rsidR="00F1219F" w:rsidRPr="00F1219F" w:rsidRDefault="00F1219F" w:rsidP="00F1219F">
      <w:pPr>
        <w:suppressAutoHyphens/>
        <w:autoSpaceDE w:val="0"/>
        <w:spacing w:line="264" w:lineRule="auto"/>
        <w:ind w:left="1134"/>
        <w:jc w:val="both"/>
        <w:rPr>
          <w:rFonts w:ascii="Geomanist" w:hAnsi="Geomanist" w:cs="Arial"/>
          <w:sz w:val="22"/>
          <w:szCs w:val="22"/>
          <w:lang w:eastAsia="ar-SA"/>
        </w:rPr>
      </w:pPr>
    </w:p>
    <w:p w14:paraId="16F0C328" w14:textId="77777777" w:rsidR="00F1219F" w:rsidRPr="00F1219F" w:rsidRDefault="00F1219F" w:rsidP="00F1219F">
      <w:pPr>
        <w:suppressAutoHyphens/>
        <w:autoSpaceDE w:val="0"/>
        <w:spacing w:line="264" w:lineRule="auto"/>
        <w:jc w:val="both"/>
        <w:rPr>
          <w:rFonts w:ascii="Geomanist" w:hAnsi="Geomanist" w:cs="Arial"/>
          <w:bCs/>
          <w:sz w:val="22"/>
          <w:szCs w:val="22"/>
          <w:lang w:eastAsia="ar-SA"/>
        </w:rPr>
      </w:pPr>
      <w:r w:rsidRPr="00F1219F">
        <w:rPr>
          <w:rFonts w:ascii="Geomanist" w:hAnsi="Geomanist" w:cs="Arial"/>
          <w:bCs/>
          <w:sz w:val="22"/>
          <w:szCs w:val="22"/>
          <w:lang w:eastAsia="ar-SA"/>
        </w:rPr>
        <w:t>El licitante adjudicado conviene en limitar el acceso a dicha información confidencial a sus empleados o representantes; sin embargo, necesariamente hará partícipes y obligados solidarios a aquellos respecto de sus obligaciones de confidencialidad contraídas mediante el presente numeral.</w:t>
      </w:r>
    </w:p>
    <w:p w14:paraId="2D7B8483" w14:textId="77777777" w:rsidR="00F1219F" w:rsidRPr="00F1219F" w:rsidRDefault="00F1219F" w:rsidP="00F1219F">
      <w:pPr>
        <w:suppressAutoHyphens/>
        <w:autoSpaceDE w:val="0"/>
        <w:spacing w:line="264" w:lineRule="auto"/>
        <w:jc w:val="both"/>
        <w:rPr>
          <w:rFonts w:ascii="Geomanist" w:hAnsi="Geomanist" w:cs="Arial"/>
          <w:bCs/>
          <w:sz w:val="22"/>
          <w:szCs w:val="22"/>
          <w:lang w:eastAsia="ar-SA"/>
        </w:rPr>
      </w:pPr>
    </w:p>
    <w:p w14:paraId="76976B28"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r w:rsidRPr="00F1219F">
        <w:rPr>
          <w:rFonts w:ascii="Geomanist" w:hAnsi="Geomanist" w:cs="Arial"/>
          <w:bCs/>
          <w:sz w:val="22"/>
          <w:szCs w:val="22"/>
          <w:lang w:eastAsia="ar-SA"/>
        </w:rPr>
        <w:t>Cualquier persona que tuviere acceso a dicha información deberá ser advertida de lo convenido en este documento y se comprometerá a observar y cumplir con lo estipulado en el mismo, respecto a la obligación de confidencialidad que por medio de este numeral asume el licitante adjudicado</w:t>
      </w:r>
      <w:r w:rsidRPr="00F1219F">
        <w:rPr>
          <w:rFonts w:ascii="Geomanist" w:hAnsi="Geomanist" w:cs="Arial"/>
          <w:sz w:val="22"/>
          <w:szCs w:val="22"/>
          <w:lang w:eastAsia="ar-SA"/>
        </w:rPr>
        <w:t>.</w:t>
      </w:r>
    </w:p>
    <w:p w14:paraId="29F6C802"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p>
    <w:p w14:paraId="7B63AC8B"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r w:rsidRPr="00F1219F">
        <w:rPr>
          <w:rFonts w:ascii="Geomanist" w:hAnsi="Geomanist" w:cs="Arial"/>
          <w:bCs/>
          <w:sz w:val="22"/>
          <w:szCs w:val="22"/>
          <w:lang w:eastAsia="ar-SA"/>
        </w:rPr>
        <w:t>El licitante adjudicado</w:t>
      </w:r>
      <w:r w:rsidRPr="00F1219F">
        <w:rPr>
          <w:rFonts w:ascii="Geomanist" w:hAnsi="Geomanist" w:cs="Arial"/>
          <w:sz w:val="22"/>
          <w:szCs w:val="22"/>
          <w:lang w:eastAsia="ar-SA"/>
        </w:rPr>
        <w:t xml:space="preserve"> acepta que todas las especificaciones, productos, estudios técnicos, informes, dictámenes, desarrollos y programas, así como todo aquello que se obtenga como resultado de la prestación del servicio, serán confidenciales.</w:t>
      </w:r>
    </w:p>
    <w:p w14:paraId="39DF5D10"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p>
    <w:p w14:paraId="4901FF5C"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r w:rsidRPr="00F1219F">
        <w:rPr>
          <w:rFonts w:ascii="Geomanist" w:hAnsi="Geomanist" w:cs="Arial"/>
          <w:sz w:val="22"/>
          <w:szCs w:val="22"/>
          <w:lang w:eastAsia="ar-SA"/>
        </w:rPr>
        <w:t>Las partes convienen en que la siguiente información o documentación no será considerada como sujeta a las obligaciones de confidencialidad:</w:t>
      </w:r>
    </w:p>
    <w:p w14:paraId="6CAE5060"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p>
    <w:p w14:paraId="764E588D" w14:textId="77777777" w:rsidR="00F1219F" w:rsidRPr="00F1219F" w:rsidRDefault="00F1219F" w:rsidP="00F1219F">
      <w:pPr>
        <w:numPr>
          <w:ilvl w:val="0"/>
          <w:numId w:val="43"/>
        </w:numPr>
        <w:suppressAutoHyphens/>
        <w:autoSpaceDE w:val="0"/>
        <w:spacing w:line="264" w:lineRule="auto"/>
        <w:ind w:left="709" w:hanging="425"/>
        <w:jc w:val="both"/>
        <w:rPr>
          <w:rFonts w:ascii="Geomanist" w:hAnsi="Geomanist" w:cs="Arial"/>
          <w:sz w:val="22"/>
          <w:szCs w:val="22"/>
          <w:lang w:eastAsia="ar-SA"/>
        </w:rPr>
      </w:pPr>
      <w:r w:rsidRPr="00F1219F">
        <w:rPr>
          <w:rFonts w:ascii="Geomanist" w:hAnsi="Geomanist" w:cs="Arial"/>
          <w:sz w:val="22"/>
          <w:szCs w:val="22"/>
          <w:lang w:eastAsia="ar-SA"/>
        </w:rPr>
        <w:t>Aquella que sea conocida públicamente.</w:t>
      </w:r>
    </w:p>
    <w:p w14:paraId="36A805CB" w14:textId="77777777" w:rsidR="00F1219F" w:rsidRPr="00F1219F" w:rsidRDefault="00F1219F" w:rsidP="00F1219F">
      <w:pPr>
        <w:numPr>
          <w:ilvl w:val="0"/>
          <w:numId w:val="43"/>
        </w:numPr>
        <w:suppressAutoHyphens/>
        <w:autoSpaceDE w:val="0"/>
        <w:spacing w:line="264" w:lineRule="auto"/>
        <w:ind w:left="709" w:hanging="425"/>
        <w:jc w:val="both"/>
        <w:rPr>
          <w:rFonts w:ascii="Geomanist" w:hAnsi="Geomanist" w:cs="Arial"/>
          <w:sz w:val="22"/>
          <w:szCs w:val="22"/>
          <w:lang w:eastAsia="ar-SA"/>
        </w:rPr>
      </w:pPr>
      <w:r w:rsidRPr="00F1219F">
        <w:rPr>
          <w:rFonts w:ascii="Geomanist" w:hAnsi="Geomanist" w:cs="Arial"/>
          <w:sz w:val="22"/>
          <w:szCs w:val="22"/>
          <w:lang w:eastAsia="ar-SA"/>
        </w:rPr>
        <w:t>La que haya sido puesta en forma confidencial, a disposición de las partes por un tercero, antes de la fecha de celebración del procedimiento licitatorio respectivo.</w:t>
      </w:r>
    </w:p>
    <w:p w14:paraId="66F31E3A" w14:textId="77777777" w:rsidR="00F1219F" w:rsidRPr="00F1219F" w:rsidRDefault="00F1219F" w:rsidP="00F1219F">
      <w:pPr>
        <w:numPr>
          <w:ilvl w:val="0"/>
          <w:numId w:val="43"/>
        </w:numPr>
        <w:suppressAutoHyphens/>
        <w:autoSpaceDE w:val="0"/>
        <w:spacing w:line="264" w:lineRule="auto"/>
        <w:ind w:left="709" w:hanging="425"/>
        <w:jc w:val="both"/>
        <w:rPr>
          <w:rFonts w:ascii="Geomanist" w:hAnsi="Geomanist" w:cs="Arial"/>
          <w:sz w:val="22"/>
          <w:szCs w:val="22"/>
          <w:lang w:eastAsia="ar-SA"/>
        </w:rPr>
      </w:pPr>
      <w:r w:rsidRPr="00F1219F">
        <w:rPr>
          <w:rFonts w:ascii="Geomanist" w:hAnsi="Geomanist" w:cs="Arial"/>
          <w:sz w:val="22"/>
          <w:szCs w:val="22"/>
          <w:lang w:eastAsia="ar-SA"/>
        </w:rPr>
        <w:t xml:space="preserve">La que haya sido desarrollada independientemente o adquirida por cualquiera de las partes, sin violar las estipulaciones </w:t>
      </w:r>
      <w:r w:rsidRPr="00F1219F">
        <w:rPr>
          <w:rFonts w:ascii="Geomanist" w:hAnsi="Geomanist" w:cs="Times New Roman"/>
          <w:sz w:val="22"/>
          <w:szCs w:val="22"/>
        </w:rPr>
        <w:t xml:space="preserve">que se establecen en </w:t>
      </w:r>
      <w:r w:rsidRPr="00F1219F">
        <w:rPr>
          <w:rFonts w:ascii="Geomanist" w:hAnsi="Geomanist" w:cs="Arial"/>
          <w:sz w:val="22"/>
          <w:szCs w:val="22"/>
          <w:lang w:eastAsia="ar-SA"/>
        </w:rPr>
        <w:t xml:space="preserve">el Anexo Técnico </w:t>
      </w:r>
      <w:r w:rsidRPr="00F1219F">
        <w:rPr>
          <w:rFonts w:ascii="Geomanist" w:hAnsi="Geomanist" w:cs="Times New Roman"/>
          <w:sz w:val="22"/>
          <w:szCs w:val="22"/>
        </w:rPr>
        <w:t>que se incluye en el Anexo Número 1 (UNO) de la convocatoria</w:t>
      </w:r>
      <w:r w:rsidRPr="00F1219F">
        <w:rPr>
          <w:rFonts w:ascii="Geomanist" w:hAnsi="Geomanist" w:cs="Arial"/>
          <w:sz w:val="22"/>
          <w:szCs w:val="22"/>
          <w:lang w:eastAsia="ar-SA"/>
        </w:rPr>
        <w:t>.</w:t>
      </w:r>
    </w:p>
    <w:p w14:paraId="17DB7CFA" w14:textId="77777777" w:rsidR="00F1219F" w:rsidRPr="00F1219F" w:rsidRDefault="00F1219F" w:rsidP="00F1219F">
      <w:pPr>
        <w:numPr>
          <w:ilvl w:val="0"/>
          <w:numId w:val="43"/>
        </w:numPr>
        <w:suppressAutoHyphens/>
        <w:autoSpaceDE w:val="0"/>
        <w:spacing w:line="264" w:lineRule="auto"/>
        <w:ind w:left="709" w:hanging="425"/>
        <w:jc w:val="both"/>
        <w:rPr>
          <w:rFonts w:ascii="Geomanist" w:hAnsi="Geomanist" w:cs="Arial"/>
          <w:sz w:val="22"/>
          <w:szCs w:val="22"/>
          <w:lang w:eastAsia="ar-SA"/>
        </w:rPr>
      </w:pPr>
      <w:r w:rsidRPr="00F1219F">
        <w:rPr>
          <w:rFonts w:ascii="Geomanist" w:hAnsi="Geomanist" w:cs="Arial"/>
          <w:sz w:val="22"/>
          <w:szCs w:val="22"/>
          <w:lang w:eastAsia="ar-SA"/>
        </w:rPr>
        <w:t>Aquella cuya revelación haya sido aprobada previamente por escrito.</w:t>
      </w:r>
    </w:p>
    <w:p w14:paraId="5A56377E" w14:textId="77777777" w:rsidR="00F1219F" w:rsidRPr="00F1219F" w:rsidRDefault="00F1219F" w:rsidP="00F1219F">
      <w:pPr>
        <w:numPr>
          <w:ilvl w:val="0"/>
          <w:numId w:val="43"/>
        </w:numPr>
        <w:suppressAutoHyphens/>
        <w:autoSpaceDE w:val="0"/>
        <w:spacing w:line="264" w:lineRule="auto"/>
        <w:ind w:left="709" w:hanging="425"/>
        <w:jc w:val="both"/>
        <w:rPr>
          <w:rFonts w:ascii="Geomanist" w:hAnsi="Geomanist" w:cs="Arial"/>
          <w:sz w:val="22"/>
          <w:szCs w:val="22"/>
          <w:lang w:eastAsia="ar-SA"/>
        </w:rPr>
      </w:pPr>
      <w:r w:rsidRPr="00F1219F">
        <w:rPr>
          <w:rFonts w:ascii="Geomanist" w:hAnsi="Geomanist" w:cs="Arial"/>
          <w:sz w:val="22"/>
          <w:szCs w:val="22"/>
          <w:lang w:eastAsia="ar-SA"/>
        </w:rPr>
        <w:lastRenderedPageBreak/>
        <w:t>La que, de acuerdo con la ley u orden judicial, deba ser suministrada a terceras personas, en el entendido de que aquella información confidencial que sea proporcionada a cualquier autoridad para el efecto de obtener licencias, permisos, autorizaciones, registro o para cumplir con cualquier otro acto de autoridad, se seguirá considerando como tal.</w:t>
      </w:r>
    </w:p>
    <w:p w14:paraId="389BD136" w14:textId="77777777" w:rsidR="00F1219F" w:rsidRPr="00F1219F" w:rsidRDefault="00F1219F" w:rsidP="00F1219F">
      <w:pPr>
        <w:suppressAutoHyphens/>
        <w:autoSpaceDE w:val="0"/>
        <w:spacing w:line="264" w:lineRule="auto"/>
        <w:ind w:left="709"/>
        <w:jc w:val="both"/>
        <w:rPr>
          <w:rFonts w:ascii="Geomanist" w:hAnsi="Geomanist" w:cs="Arial"/>
          <w:sz w:val="22"/>
          <w:szCs w:val="22"/>
          <w:lang w:eastAsia="ar-SA"/>
        </w:rPr>
      </w:pPr>
    </w:p>
    <w:p w14:paraId="4CB5E8CC"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r w:rsidRPr="00F1219F">
        <w:rPr>
          <w:rFonts w:ascii="Geomanist" w:hAnsi="Geomanist" w:cs="Arial"/>
          <w:sz w:val="22"/>
          <w:szCs w:val="22"/>
          <w:lang w:eastAsia="ar-SA"/>
        </w:rPr>
        <w:t>En caso de violación al presente numeral, e</w:t>
      </w:r>
      <w:r w:rsidRPr="00F1219F">
        <w:rPr>
          <w:rFonts w:ascii="Geomanist" w:hAnsi="Geomanist" w:cs="Arial"/>
          <w:bCs/>
          <w:sz w:val="22"/>
          <w:szCs w:val="22"/>
          <w:lang w:eastAsia="ar-SA"/>
        </w:rPr>
        <w:t>l licitante</w:t>
      </w:r>
      <w:r w:rsidRPr="00F1219F">
        <w:rPr>
          <w:rFonts w:ascii="Geomanist" w:hAnsi="Geomanist" w:cs="Arial"/>
          <w:b/>
          <w:sz w:val="22"/>
          <w:szCs w:val="22"/>
          <w:lang w:eastAsia="ar-SA"/>
        </w:rPr>
        <w:t xml:space="preserve"> </w:t>
      </w:r>
      <w:r w:rsidRPr="00F1219F">
        <w:rPr>
          <w:rFonts w:ascii="Geomanist" w:hAnsi="Geomanist" w:cs="Arial"/>
          <w:sz w:val="22"/>
          <w:szCs w:val="22"/>
          <w:lang w:eastAsia="ar-SA"/>
        </w:rPr>
        <w:t>adjudicado responderá a nombre propio ante todas las autoridades que le requieran e indemnizará al IMSS por la difusión no autorizada.</w:t>
      </w:r>
    </w:p>
    <w:p w14:paraId="79B0AE53" w14:textId="77777777" w:rsidR="00F1219F" w:rsidRPr="00F1219F" w:rsidRDefault="00F1219F" w:rsidP="00F1219F">
      <w:pPr>
        <w:suppressAutoHyphens/>
        <w:autoSpaceDE w:val="0"/>
        <w:spacing w:line="264" w:lineRule="auto"/>
        <w:jc w:val="both"/>
        <w:rPr>
          <w:rFonts w:ascii="Geomanist" w:hAnsi="Geomanist" w:cs="Arial"/>
          <w:sz w:val="22"/>
          <w:szCs w:val="22"/>
          <w:lang w:eastAsia="ar-SA"/>
        </w:rPr>
      </w:pPr>
    </w:p>
    <w:p w14:paraId="0A1CACA7" w14:textId="77777777" w:rsidR="00F1219F" w:rsidRPr="00F1219F" w:rsidRDefault="00F1219F" w:rsidP="00F1219F">
      <w:pPr>
        <w:pStyle w:val="Ttulo2"/>
        <w:spacing w:before="0" w:line="264" w:lineRule="auto"/>
        <w:ind w:left="578" w:hanging="578"/>
        <w:rPr>
          <w:rFonts w:ascii="Geomanist" w:hAnsi="Geomanist"/>
          <w:color w:val="000000" w:themeColor="text1"/>
          <w:sz w:val="22"/>
          <w:szCs w:val="22"/>
        </w:rPr>
      </w:pPr>
      <w:r w:rsidRPr="00F1219F">
        <w:rPr>
          <w:rFonts w:ascii="Geomanist" w:hAnsi="Geomanist"/>
          <w:color w:val="000000" w:themeColor="text1"/>
          <w:sz w:val="22"/>
          <w:szCs w:val="22"/>
        </w:rPr>
        <w:t>Propiedad intelectual</w:t>
      </w:r>
    </w:p>
    <w:p w14:paraId="091837F2" w14:textId="77777777" w:rsidR="00F1219F" w:rsidRPr="00F1219F" w:rsidRDefault="00F1219F" w:rsidP="00F1219F">
      <w:pPr>
        <w:suppressAutoHyphens/>
        <w:autoSpaceDE w:val="0"/>
        <w:spacing w:line="264" w:lineRule="auto"/>
        <w:jc w:val="both"/>
        <w:rPr>
          <w:rFonts w:ascii="Geomanist" w:hAnsi="Geomanist" w:cs="Arial"/>
          <w:b/>
          <w:bCs/>
          <w:strike/>
          <w:sz w:val="22"/>
          <w:szCs w:val="22"/>
          <w:highlight w:val="yellow"/>
          <w:lang w:eastAsia="ar-SA"/>
        </w:rPr>
      </w:pPr>
    </w:p>
    <w:p w14:paraId="0126F803" w14:textId="77777777" w:rsidR="00F1219F" w:rsidRPr="00F1219F" w:rsidRDefault="00F1219F" w:rsidP="00F1219F">
      <w:pPr>
        <w:suppressAutoHyphens/>
        <w:autoSpaceDE w:val="0"/>
        <w:spacing w:line="264" w:lineRule="auto"/>
        <w:jc w:val="both"/>
        <w:rPr>
          <w:rFonts w:ascii="Geomanist" w:hAnsi="Geomanist" w:cs="Arial"/>
          <w:bCs/>
          <w:sz w:val="22"/>
          <w:szCs w:val="22"/>
          <w:lang w:eastAsia="ar-SA"/>
        </w:rPr>
      </w:pPr>
      <w:r w:rsidRPr="00F1219F">
        <w:rPr>
          <w:rFonts w:ascii="Geomanist" w:hAnsi="Geomanist" w:cs="Arial"/>
          <w:bCs/>
          <w:sz w:val="22"/>
          <w:szCs w:val="22"/>
          <w:lang w:eastAsia="ar-SA"/>
        </w:rPr>
        <w:t>La información, los programas de cómputo, las bases de datos y los archivos que en su caso se generen en la prestación del servicio contratado serán propiedad del IMSS. Éstos se conservarán en el área solicitante y sólo podrán ser utilizados por un tercero, con el consentimiento previo y expreso del IMSS, y bajo las disposiciones de la Ley Federal de Protección de Datos Personales en Posesión de los Particulares y de la Ley General de Transparencia y Acceso a la Información Pública.</w:t>
      </w:r>
    </w:p>
    <w:p w14:paraId="4F054E4D" w14:textId="77777777" w:rsidR="00F1219F" w:rsidRPr="00F1219F" w:rsidRDefault="00F1219F" w:rsidP="00F1219F">
      <w:pPr>
        <w:suppressAutoHyphens/>
        <w:autoSpaceDE w:val="0"/>
        <w:spacing w:line="264" w:lineRule="auto"/>
        <w:jc w:val="both"/>
        <w:rPr>
          <w:rFonts w:ascii="Geomanist" w:hAnsi="Geomanist" w:cs="Arial"/>
          <w:bCs/>
          <w:sz w:val="22"/>
          <w:szCs w:val="22"/>
          <w:lang w:eastAsia="ar-SA"/>
        </w:rPr>
      </w:pPr>
    </w:p>
    <w:p w14:paraId="1999B731" w14:textId="77777777" w:rsidR="00F1219F" w:rsidRPr="00F1219F" w:rsidRDefault="00F1219F" w:rsidP="00F1219F">
      <w:pPr>
        <w:suppressAutoHyphens/>
        <w:autoSpaceDE w:val="0"/>
        <w:spacing w:line="264" w:lineRule="auto"/>
        <w:jc w:val="both"/>
        <w:rPr>
          <w:rFonts w:ascii="Geomanist" w:hAnsi="Geomanist" w:cs="Arial"/>
          <w:bCs/>
          <w:sz w:val="22"/>
          <w:szCs w:val="22"/>
          <w:lang w:eastAsia="ar-SA"/>
        </w:rPr>
      </w:pPr>
      <w:r w:rsidRPr="00F1219F">
        <w:rPr>
          <w:rFonts w:ascii="Geomanist" w:hAnsi="Geomanist" w:cs="Arial"/>
          <w:bCs/>
          <w:sz w:val="22"/>
          <w:szCs w:val="22"/>
          <w:lang w:eastAsia="ar-SA"/>
        </w:rPr>
        <w:t xml:space="preserve">Por lo anterior, </w:t>
      </w:r>
      <w:r w:rsidRPr="00F1219F">
        <w:rPr>
          <w:rFonts w:ascii="Geomanist" w:hAnsi="Geomanist" w:cs="Arial"/>
          <w:sz w:val="22"/>
          <w:szCs w:val="22"/>
          <w:lang w:eastAsia="ar-SA"/>
        </w:rPr>
        <w:t xml:space="preserve">el proveedor </w:t>
      </w:r>
      <w:r w:rsidRPr="00F1219F">
        <w:rPr>
          <w:rFonts w:ascii="Geomanist" w:hAnsi="Geomanist" w:cs="Arial"/>
          <w:bCs/>
          <w:sz w:val="22"/>
          <w:szCs w:val="22"/>
          <w:lang w:eastAsia="ar-SA"/>
        </w:rPr>
        <w:t xml:space="preserve">se obliga para con el IMSS a responder por los daños y perjuicios que le pudiera causar a este o a terceros si con motivo de la prestación del servicio </w:t>
      </w:r>
      <w:r w:rsidRPr="00F1219F">
        <w:rPr>
          <w:rFonts w:ascii="Geomanist" w:hAnsi="Geomanist" w:cs="Times New Roman"/>
          <w:sz w:val="22"/>
          <w:szCs w:val="22"/>
        </w:rPr>
        <w:t>que se establece en el</w:t>
      </w:r>
      <w:r w:rsidRPr="00F1219F">
        <w:rPr>
          <w:rFonts w:ascii="Geomanist" w:hAnsi="Geomanist" w:cs="Arial"/>
          <w:bCs/>
          <w:sz w:val="22"/>
          <w:szCs w:val="22"/>
          <w:lang w:eastAsia="ar-SA"/>
        </w:rPr>
        <w:t xml:space="preserve"> Anexo Técnico, </w:t>
      </w:r>
      <w:r w:rsidRPr="00F1219F">
        <w:rPr>
          <w:rFonts w:ascii="Geomanist" w:hAnsi="Geomanist" w:cs="Times New Roman"/>
          <w:sz w:val="22"/>
          <w:szCs w:val="22"/>
        </w:rPr>
        <w:t>que se incluye en el Anexo Número 1 (UNO) de la convocatoria</w:t>
      </w:r>
      <w:r w:rsidRPr="00F1219F">
        <w:rPr>
          <w:rFonts w:ascii="Geomanist" w:hAnsi="Geomanist" w:cs="Arial"/>
          <w:bCs/>
          <w:sz w:val="22"/>
          <w:szCs w:val="22"/>
          <w:lang w:eastAsia="ar-SA"/>
        </w:rPr>
        <w:t>, viola Derechos de Autor, de Patentes y/o Marcas u otro derecho reservado a nivel Nacional o Internacional.</w:t>
      </w:r>
    </w:p>
    <w:p w14:paraId="3915A23A" w14:textId="77777777" w:rsidR="00F1219F" w:rsidRPr="00F1219F" w:rsidRDefault="00F1219F" w:rsidP="00F1219F">
      <w:pPr>
        <w:suppressAutoHyphens/>
        <w:autoSpaceDE w:val="0"/>
        <w:spacing w:line="264" w:lineRule="auto"/>
        <w:jc w:val="both"/>
        <w:rPr>
          <w:rFonts w:ascii="Geomanist" w:hAnsi="Geomanist" w:cs="Arial"/>
          <w:bCs/>
          <w:sz w:val="22"/>
          <w:szCs w:val="22"/>
          <w:lang w:eastAsia="ar-SA"/>
        </w:rPr>
      </w:pPr>
    </w:p>
    <w:p w14:paraId="0DFD533B" w14:textId="77777777" w:rsidR="00F1219F" w:rsidRPr="00F1219F" w:rsidRDefault="00F1219F" w:rsidP="00F1219F">
      <w:pPr>
        <w:suppressAutoHyphens/>
        <w:autoSpaceDE w:val="0"/>
        <w:spacing w:line="264" w:lineRule="auto"/>
        <w:jc w:val="both"/>
        <w:rPr>
          <w:rFonts w:ascii="Geomanist" w:hAnsi="Geomanist" w:cs="Arial"/>
          <w:bCs/>
          <w:sz w:val="22"/>
          <w:szCs w:val="22"/>
          <w:lang w:eastAsia="ar-SA"/>
        </w:rPr>
      </w:pPr>
      <w:r w:rsidRPr="00F1219F">
        <w:rPr>
          <w:rFonts w:ascii="Geomanist" w:hAnsi="Geomanist" w:cs="Arial"/>
          <w:bCs/>
          <w:sz w:val="22"/>
          <w:szCs w:val="22"/>
          <w:lang w:eastAsia="ar-SA"/>
        </w:rPr>
        <w:t xml:space="preserve">En tal virtud </w:t>
      </w:r>
      <w:r w:rsidRPr="00F1219F">
        <w:rPr>
          <w:rFonts w:ascii="Geomanist" w:hAnsi="Geomanist" w:cs="Arial"/>
          <w:sz w:val="22"/>
          <w:szCs w:val="22"/>
          <w:lang w:eastAsia="ar-SA"/>
        </w:rPr>
        <w:t xml:space="preserve">el proveedor </w:t>
      </w:r>
      <w:r w:rsidRPr="00F1219F">
        <w:rPr>
          <w:rFonts w:ascii="Geomanist" w:hAnsi="Geomanist" w:cs="Arial"/>
          <w:bCs/>
          <w:sz w:val="22"/>
          <w:szCs w:val="22"/>
          <w:lang w:eastAsia="ar-SA"/>
        </w:rPr>
        <w:t>manifiesta en este acto, bajo protesta de decir verdad, no encontrarse en ninguno de los supuestos de infracción a la Ley Federal del Derecho de Autor, ni a la Ley de la Propiedad Industrial.</w:t>
      </w:r>
    </w:p>
    <w:p w14:paraId="4A6EAED6" w14:textId="77777777" w:rsidR="00F1219F" w:rsidRPr="00F1219F" w:rsidRDefault="00F1219F" w:rsidP="00F1219F">
      <w:pPr>
        <w:suppressAutoHyphens/>
        <w:autoSpaceDE w:val="0"/>
        <w:spacing w:line="264" w:lineRule="auto"/>
        <w:jc w:val="both"/>
        <w:rPr>
          <w:rFonts w:ascii="Geomanist" w:hAnsi="Geomanist" w:cs="Arial"/>
          <w:bCs/>
          <w:sz w:val="22"/>
          <w:szCs w:val="22"/>
          <w:lang w:eastAsia="ar-SA"/>
        </w:rPr>
      </w:pPr>
    </w:p>
    <w:p w14:paraId="13362E9F" w14:textId="77777777" w:rsidR="00F1219F" w:rsidRDefault="00F1219F" w:rsidP="00F1219F">
      <w:pPr>
        <w:suppressAutoHyphens/>
        <w:autoSpaceDE w:val="0"/>
        <w:spacing w:line="264" w:lineRule="auto"/>
        <w:jc w:val="both"/>
        <w:rPr>
          <w:rFonts w:ascii="Geomanist" w:hAnsi="Geomanist" w:cs="Arial"/>
          <w:bCs/>
          <w:sz w:val="22"/>
          <w:szCs w:val="22"/>
          <w:lang w:eastAsia="ar-SA"/>
        </w:rPr>
      </w:pPr>
      <w:r w:rsidRPr="00F1219F">
        <w:rPr>
          <w:rFonts w:ascii="Geomanist" w:hAnsi="Geomanist" w:cs="Arial"/>
          <w:bCs/>
          <w:sz w:val="22"/>
          <w:szCs w:val="22"/>
          <w:lang w:eastAsia="ar-SA"/>
        </w:rPr>
        <w:t>En caso de que sobreviniera alguna reclamación en contra del IMSS por cualquiera de las causas antes mencionadas, la única obligación de éste será la de dar aviso en el domicilio previsto en este instrumento jurídico a</w:t>
      </w:r>
      <w:r w:rsidRPr="00F1219F">
        <w:rPr>
          <w:rFonts w:ascii="Geomanist" w:hAnsi="Geomanist" w:cs="Arial"/>
          <w:sz w:val="22"/>
          <w:szCs w:val="22"/>
          <w:lang w:eastAsia="ar-SA"/>
        </w:rPr>
        <w:t>l proveedor</w:t>
      </w:r>
      <w:r w:rsidRPr="00F1219F">
        <w:rPr>
          <w:rFonts w:ascii="Geomanist" w:hAnsi="Geomanist" w:cs="Arial"/>
          <w:bCs/>
          <w:sz w:val="22"/>
          <w:szCs w:val="22"/>
          <w:lang w:eastAsia="ar-SA"/>
        </w:rPr>
        <w:t xml:space="preserve"> para que éste lleve a cabo las acciones necesarias que garanticen la liberación del Instituto de cualquier controversia o responsabilidad de carácter Civil, Mercantil, Penal o Administrativa que, en su caso, se ocasione.</w:t>
      </w:r>
    </w:p>
    <w:p w14:paraId="7B394DED" w14:textId="77777777" w:rsidR="00543E72" w:rsidRDefault="00543E72" w:rsidP="00F1219F">
      <w:pPr>
        <w:suppressAutoHyphens/>
        <w:autoSpaceDE w:val="0"/>
        <w:spacing w:line="264" w:lineRule="auto"/>
        <w:jc w:val="both"/>
        <w:rPr>
          <w:rFonts w:ascii="Geomanist" w:hAnsi="Geomanist" w:cs="Arial"/>
          <w:bCs/>
          <w:sz w:val="22"/>
          <w:szCs w:val="22"/>
          <w:lang w:eastAsia="ar-SA"/>
        </w:rPr>
      </w:pPr>
    </w:p>
    <w:p w14:paraId="4A96C146" w14:textId="6D0FE621" w:rsidR="00543E72" w:rsidRDefault="00543E72" w:rsidP="00543E72">
      <w:pPr>
        <w:pStyle w:val="Ttulo2"/>
        <w:spacing w:before="0" w:line="264" w:lineRule="auto"/>
        <w:ind w:left="578" w:hanging="578"/>
        <w:rPr>
          <w:rFonts w:ascii="Geomanist" w:hAnsi="Geomanist"/>
          <w:color w:val="000000" w:themeColor="text1"/>
          <w:sz w:val="22"/>
          <w:szCs w:val="22"/>
        </w:rPr>
      </w:pPr>
      <w:r>
        <w:rPr>
          <w:rFonts w:ascii="Geomanist" w:hAnsi="Geomanist"/>
          <w:color w:val="000000" w:themeColor="text1"/>
          <w:sz w:val="22"/>
          <w:szCs w:val="22"/>
        </w:rPr>
        <w:t>Otorgamiento de anticipo</w:t>
      </w:r>
    </w:p>
    <w:p w14:paraId="1310C6A7" w14:textId="77777777" w:rsidR="00543E72" w:rsidRDefault="00543E72" w:rsidP="00543E72">
      <w:pPr>
        <w:rPr>
          <w:lang w:val="es-ES_tradnl" w:eastAsia="es-MX"/>
        </w:rPr>
      </w:pPr>
    </w:p>
    <w:p w14:paraId="250D0D01" w14:textId="334CDB91" w:rsidR="00543E72" w:rsidRDefault="00543E72" w:rsidP="00543E72">
      <w:pPr>
        <w:rPr>
          <w:rFonts w:ascii="Geomanist" w:hAnsi="Geomanist" w:cs="Arial"/>
          <w:bCs/>
          <w:sz w:val="22"/>
          <w:szCs w:val="22"/>
          <w:lang w:eastAsia="ar-SA"/>
        </w:rPr>
      </w:pPr>
      <w:r w:rsidRPr="00543E72">
        <w:rPr>
          <w:rFonts w:ascii="Geomanist" w:hAnsi="Geomanist" w:cs="Arial"/>
          <w:bCs/>
          <w:sz w:val="22"/>
          <w:szCs w:val="22"/>
          <w:lang w:eastAsia="ar-SA"/>
        </w:rPr>
        <w:t>No aplica</w:t>
      </w:r>
      <w:r>
        <w:rPr>
          <w:rFonts w:ascii="Geomanist" w:hAnsi="Geomanist" w:cs="Arial"/>
          <w:bCs/>
          <w:sz w:val="22"/>
          <w:szCs w:val="22"/>
          <w:lang w:eastAsia="ar-SA"/>
        </w:rPr>
        <w:t>.</w:t>
      </w:r>
    </w:p>
    <w:p w14:paraId="7F2B991A" w14:textId="77777777" w:rsidR="00543E72" w:rsidRDefault="00543E72" w:rsidP="00543E72">
      <w:pPr>
        <w:rPr>
          <w:rFonts w:ascii="Geomanist" w:hAnsi="Geomanist" w:cs="Arial"/>
          <w:bCs/>
          <w:sz w:val="22"/>
          <w:szCs w:val="22"/>
          <w:lang w:eastAsia="ar-SA"/>
        </w:rPr>
      </w:pPr>
    </w:p>
    <w:p w14:paraId="203AFDB7" w14:textId="18A0CB79" w:rsidR="00543E72" w:rsidRPr="00F03D19" w:rsidRDefault="00543E72" w:rsidP="00F03D19">
      <w:pPr>
        <w:pStyle w:val="Ttulo2"/>
        <w:spacing w:before="0" w:line="264" w:lineRule="auto"/>
        <w:ind w:left="578" w:hanging="578"/>
        <w:rPr>
          <w:rFonts w:ascii="Geomanist" w:hAnsi="Geomanist"/>
          <w:color w:val="000000" w:themeColor="text1"/>
          <w:sz w:val="22"/>
          <w:szCs w:val="22"/>
        </w:rPr>
      </w:pPr>
      <w:r w:rsidRPr="00F03D19">
        <w:rPr>
          <w:rFonts w:ascii="Geomanist" w:hAnsi="Geomanist"/>
          <w:color w:val="000000" w:themeColor="text1"/>
          <w:sz w:val="22"/>
          <w:szCs w:val="22"/>
        </w:rPr>
        <w:lastRenderedPageBreak/>
        <w:t>Aviso de privacidad</w:t>
      </w:r>
    </w:p>
    <w:p w14:paraId="094CA0AA" w14:textId="77777777" w:rsidR="00543E72" w:rsidRDefault="00543E72" w:rsidP="00543E72">
      <w:pPr>
        <w:rPr>
          <w:rFonts w:ascii="Geomanist" w:hAnsi="Geomanist" w:cs="Arial"/>
          <w:bCs/>
          <w:sz w:val="22"/>
          <w:szCs w:val="22"/>
          <w:lang w:eastAsia="ar-SA"/>
        </w:rPr>
      </w:pPr>
    </w:p>
    <w:p w14:paraId="62FFBC0D" w14:textId="6DBE9E5F" w:rsidR="00543E72" w:rsidRDefault="00543E72" w:rsidP="00543E72">
      <w:pPr>
        <w:rPr>
          <w:rFonts w:ascii="Geomanist" w:hAnsi="Geomanist" w:cs="Arial"/>
          <w:bCs/>
          <w:sz w:val="22"/>
          <w:szCs w:val="22"/>
          <w:lang w:eastAsia="ar-SA"/>
        </w:rPr>
      </w:pPr>
      <w:r>
        <w:rPr>
          <w:rFonts w:ascii="Geomanist" w:hAnsi="Geomanist" w:cs="Arial"/>
          <w:bCs/>
          <w:sz w:val="22"/>
          <w:szCs w:val="22"/>
          <w:lang w:eastAsia="ar-SA"/>
        </w:rPr>
        <w:t>No aplica.</w:t>
      </w:r>
    </w:p>
    <w:p w14:paraId="42FDBDFE" w14:textId="77777777" w:rsidR="00543E72" w:rsidRDefault="00543E72" w:rsidP="00543E72">
      <w:pPr>
        <w:rPr>
          <w:rFonts w:ascii="Geomanist" w:hAnsi="Geomanist" w:cs="Arial"/>
          <w:bCs/>
          <w:sz w:val="22"/>
          <w:szCs w:val="22"/>
          <w:lang w:eastAsia="ar-SA"/>
        </w:rPr>
      </w:pPr>
    </w:p>
    <w:p w14:paraId="79654FDB" w14:textId="4C0A2068" w:rsidR="00543E72" w:rsidRPr="00F03D19" w:rsidRDefault="00543E72" w:rsidP="00F03D19">
      <w:pPr>
        <w:pStyle w:val="Ttulo2"/>
        <w:spacing w:before="0" w:line="264" w:lineRule="auto"/>
        <w:ind w:left="578" w:hanging="578"/>
        <w:rPr>
          <w:rFonts w:ascii="Geomanist" w:hAnsi="Geomanist"/>
          <w:color w:val="000000" w:themeColor="text1"/>
          <w:sz w:val="22"/>
          <w:szCs w:val="22"/>
        </w:rPr>
      </w:pPr>
      <w:r w:rsidRPr="00F03D19">
        <w:rPr>
          <w:rFonts w:ascii="Geomanist" w:hAnsi="Geomanist"/>
          <w:color w:val="000000" w:themeColor="text1"/>
          <w:sz w:val="22"/>
          <w:szCs w:val="22"/>
        </w:rPr>
        <w:t>Seguro de Responsabilidad civil</w:t>
      </w:r>
    </w:p>
    <w:p w14:paraId="3A8058B1" w14:textId="77777777" w:rsidR="00543E72" w:rsidRDefault="00543E72" w:rsidP="00543E72">
      <w:pPr>
        <w:rPr>
          <w:rFonts w:ascii="Geomanist" w:hAnsi="Geomanist" w:cs="Arial"/>
          <w:bCs/>
          <w:sz w:val="22"/>
          <w:szCs w:val="22"/>
          <w:lang w:eastAsia="ar-SA"/>
        </w:rPr>
      </w:pPr>
    </w:p>
    <w:p w14:paraId="2988214D" w14:textId="43DCC664" w:rsidR="00543E72" w:rsidRDefault="00543E72" w:rsidP="00543E72">
      <w:pPr>
        <w:rPr>
          <w:rFonts w:ascii="Geomanist" w:hAnsi="Geomanist" w:cs="Arial"/>
          <w:bCs/>
          <w:sz w:val="22"/>
          <w:szCs w:val="22"/>
          <w:lang w:eastAsia="ar-SA"/>
        </w:rPr>
      </w:pPr>
      <w:r>
        <w:rPr>
          <w:rFonts w:ascii="Geomanist" w:hAnsi="Geomanist" w:cs="Arial"/>
          <w:bCs/>
          <w:sz w:val="22"/>
          <w:szCs w:val="22"/>
          <w:lang w:eastAsia="ar-SA"/>
        </w:rPr>
        <w:t>No aplica</w:t>
      </w:r>
    </w:p>
    <w:p w14:paraId="16A4955B" w14:textId="77777777" w:rsidR="00543E72" w:rsidRDefault="00543E72" w:rsidP="00543E72">
      <w:pPr>
        <w:rPr>
          <w:rFonts w:ascii="Geomanist" w:hAnsi="Geomanist" w:cs="Arial"/>
          <w:bCs/>
          <w:sz w:val="22"/>
          <w:szCs w:val="22"/>
          <w:lang w:eastAsia="ar-SA"/>
        </w:rPr>
      </w:pPr>
    </w:p>
    <w:p w14:paraId="52DB5B7B" w14:textId="629E2B0D" w:rsidR="00543E72" w:rsidRPr="00F03D19" w:rsidRDefault="00543E72" w:rsidP="00F03D19">
      <w:pPr>
        <w:pStyle w:val="Ttulo2"/>
        <w:spacing w:before="0" w:line="264" w:lineRule="auto"/>
        <w:ind w:left="578" w:hanging="578"/>
        <w:rPr>
          <w:rFonts w:ascii="Geomanist" w:hAnsi="Geomanist"/>
          <w:color w:val="000000" w:themeColor="text1"/>
          <w:sz w:val="22"/>
          <w:szCs w:val="22"/>
        </w:rPr>
      </w:pPr>
      <w:r w:rsidRPr="00F03D19">
        <w:rPr>
          <w:rFonts w:ascii="Geomanist" w:hAnsi="Geomanist"/>
          <w:color w:val="000000" w:themeColor="text1"/>
          <w:sz w:val="22"/>
          <w:szCs w:val="22"/>
        </w:rPr>
        <w:t>Dictámenes de protección civil</w:t>
      </w:r>
    </w:p>
    <w:p w14:paraId="6AA24604" w14:textId="77777777" w:rsidR="00543E72" w:rsidRDefault="00543E72" w:rsidP="00543E72">
      <w:pPr>
        <w:rPr>
          <w:rFonts w:ascii="Geomanist" w:hAnsi="Geomanist" w:cs="Arial"/>
          <w:bCs/>
          <w:sz w:val="22"/>
          <w:szCs w:val="22"/>
          <w:lang w:eastAsia="ar-SA"/>
        </w:rPr>
      </w:pPr>
    </w:p>
    <w:p w14:paraId="2F7A4C7B" w14:textId="71272C7A" w:rsidR="00543E72" w:rsidRPr="00F1219F" w:rsidRDefault="00543E72" w:rsidP="00543E72">
      <w:pPr>
        <w:rPr>
          <w:rFonts w:ascii="Geomanist" w:hAnsi="Geomanist" w:cs="Arial"/>
          <w:sz w:val="22"/>
          <w:szCs w:val="22"/>
          <w:u w:val="single"/>
          <w:lang w:eastAsia="ar-SA"/>
        </w:rPr>
      </w:pPr>
      <w:r>
        <w:rPr>
          <w:rFonts w:ascii="Geomanist" w:hAnsi="Geomanist" w:cs="Arial"/>
          <w:bCs/>
          <w:sz w:val="22"/>
          <w:szCs w:val="22"/>
          <w:lang w:eastAsia="ar-SA"/>
        </w:rPr>
        <w:t>No aplica.</w:t>
      </w:r>
    </w:p>
    <w:p w14:paraId="20A74C4D" w14:textId="77777777" w:rsidR="00F1219F" w:rsidRPr="00F1219F" w:rsidRDefault="00F1219F" w:rsidP="00F1219F">
      <w:pPr>
        <w:spacing w:line="264" w:lineRule="auto"/>
        <w:jc w:val="both"/>
        <w:rPr>
          <w:rFonts w:ascii="Geomanist" w:hAnsi="Geomanist"/>
          <w:sz w:val="22"/>
          <w:szCs w:val="22"/>
        </w:rPr>
      </w:pPr>
    </w:p>
    <w:p w14:paraId="4D26E4D6" w14:textId="77777777" w:rsidR="00F1219F" w:rsidRPr="00F1219F" w:rsidRDefault="00F1219F" w:rsidP="00F1219F">
      <w:pPr>
        <w:spacing w:line="264" w:lineRule="auto"/>
        <w:jc w:val="both"/>
        <w:rPr>
          <w:rFonts w:ascii="Geomanist" w:hAnsi="Geomanist"/>
          <w:sz w:val="22"/>
          <w:szCs w:val="22"/>
        </w:rPr>
      </w:pPr>
      <w:r w:rsidRPr="00F1219F">
        <w:rPr>
          <w:rFonts w:ascii="Geomanist" w:hAnsi="Geomanist"/>
          <w:sz w:val="22"/>
          <w:szCs w:val="22"/>
        </w:rPr>
        <w:t>Asimismo, para efectos del procedimiento de contratación se informa lo siguiente:</w:t>
      </w:r>
    </w:p>
    <w:p w14:paraId="6825CECA" w14:textId="77777777" w:rsidR="00F1219F" w:rsidRPr="00F1219F" w:rsidRDefault="00F1219F" w:rsidP="00F1219F">
      <w:pPr>
        <w:spacing w:line="264" w:lineRule="auto"/>
        <w:jc w:val="both"/>
        <w:rPr>
          <w:rFonts w:ascii="Geomanist" w:hAnsi="Geomanist"/>
        </w:rPr>
      </w:pPr>
    </w:p>
    <w:p w14:paraId="0D7B0E8D" w14:textId="77777777" w:rsidR="00F1219F" w:rsidRPr="00F1219F" w:rsidRDefault="00F1219F" w:rsidP="00F1219F">
      <w:pPr>
        <w:pStyle w:val="Ttulo2"/>
        <w:numPr>
          <w:ilvl w:val="0"/>
          <w:numId w:val="48"/>
        </w:numPr>
        <w:tabs>
          <w:tab w:val="num" w:pos="360"/>
        </w:tabs>
        <w:spacing w:before="0" w:line="264" w:lineRule="auto"/>
        <w:ind w:left="426" w:hanging="320"/>
        <w:rPr>
          <w:rFonts w:ascii="Geomanist" w:hAnsi="Geomanist"/>
          <w:color w:val="auto"/>
          <w:sz w:val="22"/>
          <w:szCs w:val="22"/>
        </w:rPr>
      </w:pPr>
      <w:r w:rsidRPr="00F1219F">
        <w:rPr>
          <w:rFonts w:ascii="Geomanist" w:hAnsi="Geomanist"/>
          <w:color w:val="auto"/>
          <w:sz w:val="22"/>
          <w:szCs w:val="22"/>
        </w:rPr>
        <w:t>Servidor público que participará en el evento</w:t>
      </w:r>
    </w:p>
    <w:p w14:paraId="44E9F1AB" w14:textId="77777777" w:rsidR="00F1219F" w:rsidRPr="00F1219F" w:rsidRDefault="00F1219F" w:rsidP="00F1219F">
      <w:pPr>
        <w:spacing w:line="264" w:lineRule="auto"/>
        <w:jc w:val="both"/>
        <w:rPr>
          <w:rFonts w:ascii="Geomanist" w:hAnsi="Geomanist" w:cs="Times New Roman"/>
          <w:sz w:val="22"/>
          <w:szCs w:val="22"/>
        </w:rPr>
      </w:pPr>
    </w:p>
    <w:p w14:paraId="5DE8FAAC" w14:textId="77777777" w:rsidR="00F1219F" w:rsidRPr="00F1219F" w:rsidRDefault="00F1219F" w:rsidP="00F1219F">
      <w:pPr>
        <w:spacing w:line="264" w:lineRule="auto"/>
        <w:jc w:val="both"/>
        <w:rPr>
          <w:rFonts w:ascii="Geomanist" w:hAnsi="Geomanist"/>
          <w:sz w:val="21"/>
          <w:szCs w:val="21"/>
        </w:rPr>
      </w:pPr>
      <w:r w:rsidRPr="00F1219F">
        <w:rPr>
          <w:rFonts w:ascii="Geomanist" w:hAnsi="Geomanist" w:cs="Times New Roman"/>
          <w:sz w:val="22"/>
          <w:szCs w:val="22"/>
        </w:rPr>
        <w:t xml:space="preserve">Conforme a lo que se </w:t>
      </w:r>
      <w:r w:rsidRPr="00F1219F">
        <w:rPr>
          <w:rFonts w:ascii="Geomanist" w:hAnsi="Geomanist"/>
          <w:sz w:val="21"/>
          <w:szCs w:val="21"/>
        </w:rPr>
        <w:t xml:space="preserve">establece en el numeral 4.24.7 de las POBALINES se informa que los representantes de la </w:t>
      </w:r>
      <w:r w:rsidRPr="00F1219F">
        <w:rPr>
          <w:rFonts w:ascii="Geomanist" w:hAnsi="Geomanist"/>
          <w:bCs/>
          <w:sz w:val="21"/>
          <w:szCs w:val="21"/>
        </w:rPr>
        <w:t>Coordinación de Administración de Riesgos Institucionales</w:t>
      </w:r>
      <w:r w:rsidRPr="00F1219F">
        <w:rPr>
          <w:rFonts w:ascii="Geomanist" w:hAnsi="Geomanist"/>
          <w:sz w:val="21"/>
          <w:szCs w:val="21"/>
        </w:rPr>
        <w:t xml:space="preserve"> que asistirán al servidor público que presida la(s) de Junta(s) de Aclaraciones en el proceso de contratación de los servicios referidos, son los que se indican a continuación:</w:t>
      </w:r>
    </w:p>
    <w:p w14:paraId="4DE5723F" w14:textId="77777777" w:rsidR="00F1219F" w:rsidRPr="00F1219F" w:rsidRDefault="00F1219F" w:rsidP="00F1219F">
      <w:pPr>
        <w:spacing w:line="264" w:lineRule="auto"/>
        <w:jc w:val="both"/>
        <w:rPr>
          <w:rFonts w:ascii="Geomanist" w:hAnsi="Geomanist"/>
          <w:sz w:val="21"/>
          <w:szCs w:val="21"/>
        </w:rPr>
      </w:pPr>
    </w:p>
    <w:tbl>
      <w:tblPr>
        <w:tblStyle w:val="Tablaconcuadrcula"/>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3686"/>
        <w:gridCol w:w="2466"/>
      </w:tblGrid>
      <w:tr w:rsidR="00F1219F" w:rsidRPr="00F1219F" w14:paraId="3EE53217" w14:textId="77777777" w:rsidTr="00F1219F">
        <w:trPr>
          <w:trHeight w:val="20"/>
        </w:trPr>
        <w:tc>
          <w:tcPr>
            <w:tcW w:w="1478" w:type="pct"/>
            <w:shd w:val="clear" w:color="auto" w:fill="2A5C4B"/>
            <w:vAlign w:val="center"/>
          </w:tcPr>
          <w:p w14:paraId="765CCBF3" w14:textId="77777777" w:rsidR="00F1219F" w:rsidRPr="00F1219F" w:rsidRDefault="00F1219F" w:rsidP="00C74768">
            <w:pPr>
              <w:keepNext/>
              <w:spacing w:line="276" w:lineRule="auto"/>
              <w:contextualSpacing/>
              <w:jc w:val="center"/>
              <w:rPr>
                <w:rFonts w:ascii="Geomanist" w:hAnsi="Geomanist" w:cs="Calibri"/>
                <w:b/>
                <w:color w:val="FFFFFF"/>
              </w:rPr>
            </w:pPr>
            <w:r w:rsidRPr="00F1219F">
              <w:rPr>
                <w:rFonts w:ascii="Geomanist" w:hAnsi="Geomanist" w:cs="Calibri"/>
                <w:b/>
                <w:color w:val="FFFFFF"/>
              </w:rPr>
              <w:t>Nombre del servidor público</w:t>
            </w:r>
          </w:p>
        </w:tc>
        <w:tc>
          <w:tcPr>
            <w:tcW w:w="2110" w:type="pct"/>
            <w:shd w:val="clear" w:color="auto" w:fill="2A5C4B"/>
            <w:vAlign w:val="center"/>
          </w:tcPr>
          <w:p w14:paraId="61092D26" w14:textId="77777777" w:rsidR="00F1219F" w:rsidRPr="00F1219F" w:rsidRDefault="00F1219F" w:rsidP="00C74768">
            <w:pPr>
              <w:keepNext/>
              <w:spacing w:line="276" w:lineRule="auto"/>
              <w:contextualSpacing/>
              <w:jc w:val="center"/>
              <w:rPr>
                <w:rFonts w:ascii="Geomanist" w:hAnsi="Geomanist" w:cs="Calibri"/>
                <w:b/>
                <w:color w:val="FFFFFF"/>
              </w:rPr>
            </w:pPr>
            <w:r w:rsidRPr="00F1219F">
              <w:rPr>
                <w:rFonts w:ascii="Geomanist" w:hAnsi="Geomanist" w:cs="Calibri"/>
                <w:b/>
                <w:color w:val="FFFFFF"/>
              </w:rPr>
              <w:t>Cargo</w:t>
            </w:r>
          </w:p>
        </w:tc>
        <w:tc>
          <w:tcPr>
            <w:tcW w:w="1413" w:type="pct"/>
            <w:shd w:val="clear" w:color="auto" w:fill="2A5C4B"/>
          </w:tcPr>
          <w:p w14:paraId="3815FF05" w14:textId="77777777" w:rsidR="00F1219F" w:rsidRPr="00F1219F" w:rsidRDefault="00F1219F" w:rsidP="00C74768">
            <w:pPr>
              <w:keepNext/>
              <w:spacing w:line="276" w:lineRule="auto"/>
              <w:contextualSpacing/>
              <w:jc w:val="center"/>
              <w:rPr>
                <w:rFonts w:ascii="Geomanist" w:hAnsi="Geomanist" w:cs="Calibri"/>
                <w:b/>
                <w:color w:val="FFFFFF"/>
              </w:rPr>
            </w:pPr>
            <w:r w:rsidRPr="00F1219F">
              <w:rPr>
                <w:rFonts w:ascii="Geomanist" w:hAnsi="Geomanist" w:cs="Calibri"/>
                <w:b/>
                <w:color w:val="FFFFFF"/>
              </w:rPr>
              <w:t>Calidad de la participación</w:t>
            </w:r>
          </w:p>
        </w:tc>
      </w:tr>
      <w:tr w:rsidR="00F1219F" w:rsidRPr="00F1219F" w14:paraId="374BCCD4" w14:textId="77777777" w:rsidTr="00F1219F">
        <w:trPr>
          <w:trHeight w:val="20"/>
        </w:trPr>
        <w:tc>
          <w:tcPr>
            <w:tcW w:w="1478" w:type="pct"/>
            <w:vAlign w:val="center"/>
          </w:tcPr>
          <w:p w14:paraId="79BF7CEF" w14:textId="77777777" w:rsidR="00F1219F" w:rsidRPr="00F1219F" w:rsidRDefault="00F1219F" w:rsidP="00C74768">
            <w:pPr>
              <w:suppressAutoHyphens/>
              <w:snapToGrid w:val="0"/>
              <w:ind w:left="142" w:right="51"/>
              <w:rPr>
                <w:rFonts w:ascii="Geomanist" w:eastAsia="Times New Roman" w:hAnsi="Geomanist" w:cs="Arial"/>
                <w:lang w:eastAsia="ar-SA"/>
              </w:rPr>
            </w:pPr>
            <w:r w:rsidRPr="00F1219F">
              <w:rPr>
                <w:rFonts w:ascii="Geomanist" w:hAnsi="Geomanist"/>
                <w:bCs/>
              </w:rPr>
              <w:t>Act. Mónica Cervantes Fernández</w:t>
            </w:r>
          </w:p>
        </w:tc>
        <w:tc>
          <w:tcPr>
            <w:tcW w:w="2110" w:type="pct"/>
            <w:vAlign w:val="center"/>
          </w:tcPr>
          <w:p w14:paraId="4228E232" w14:textId="77777777" w:rsidR="00F1219F" w:rsidRPr="00F1219F" w:rsidRDefault="00F1219F" w:rsidP="00C74768">
            <w:pPr>
              <w:suppressAutoHyphens/>
              <w:ind w:right="29"/>
              <w:jc w:val="both"/>
              <w:rPr>
                <w:rFonts w:ascii="Geomanist" w:eastAsia="Times New Roman" w:hAnsi="Geomanist" w:cs="Arial"/>
                <w:lang w:eastAsia="ar-SA"/>
              </w:rPr>
            </w:pPr>
            <w:r w:rsidRPr="00F1219F">
              <w:rPr>
                <w:rFonts w:ascii="Geomanist" w:hAnsi="Geomanist"/>
                <w:bCs/>
              </w:rPr>
              <w:t>Titular de la Coordinación de Administración de Riesgos Institucionales</w:t>
            </w:r>
          </w:p>
        </w:tc>
        <w:tc>
          <w:tcPr>
            <w:tcW w:w="1413" w:type="pct"/>
            <w:vAlign w:val="center"/>
          </w:tcPr>
          <w:p w14:paraId="357A7E4B" w14:textId="77777777" w:rsidR="00F1219F" w:rsidRPr="00F1219F" w:rsidRDefault="00F1219F" w:rsidP="00C74768">
            <w:pPr>
              <w:suppressAutoHyphens/>
              <w:ind w:right="29"/>
              <w:jc w:val="center"/>
              <w:rPr>
                <w:rFonts w:ascii="Geomanist" w:hAnsi="Geomanist" w:cstheme="minorBidi"/>
                <w:bCs/>
                <w:lang w:eastAsia="en-US"/>
              </w:rPr>
            </w:pPr>
            <w:r w:rsidRPr="00F1219F">
              <w:rPr>
                <w:rFonts w:ascii="Geomanist" w:hAnsi="Geomanist"/>
                <w:bCs/>
              </w:rPr>
              <w:t>Requirente y área técnica</w:t>
            </w:r>
          </w:p>
        </w:tc>
      </w:tr>
      <w:tr w:rsidR="00F1219F" w:rsidRPr="00F1219F" w14:paraId="6AA11896" w14:textId="77777777" w:rsidTr="00F1219F">
        <w:trPr>
          <w:trHeight w:val="498"/>
        </w:trPr>
        <w:tc>
          <w:tcPr>
            <w:tcW w:w="1478" w:type="pct"/>
            <w:vAlign w:val="center"/>
          </w:tcPr>
          <w:p w14:paraId="71FDA2BA" w14:textId="77777777" w:rsidR="00F1219F" w:rsidRPr="00F1219F" w:rsidRDefault="00F1219F" w:rsidP="00C74768">
            <w:pPr>
              <w:suppressAutoHyphens/>
              <w:ind w:left="142" w:right="51"/>
              <w:rPr>
                <w:rFonts w:ascii="Geomanist" w:eastAsia="Times New Roman" w:hAnsi="Geomanist" w:cs="Arial"/>
                <w:lang w:val="pt-PT" w:eastAsia="ar-SA"/>
              </w:rPr>
            </w:pPr>
            <w:r w:rsidRPr="00F1219F">
              <w:rPr>
                <w:rFonts w:ascii="Geomanist" w:hAnsi="Geomanist"/>
                <w:bCs/>
                <w:lang w:val="pt-PT"/>
              </w:rPr>
              <w:t>Act. Jana Lorena Rubio Vázquez</w:t>
            </w:r>
          </w:p>
        </w:tc>
        <w:tc>
          <w:tcPr>
            <w:tcW w:w="2110" w:type="pct"/>
            <w:vAlign w:val="center"/>
          </w:tcPr>
          <w:p w14:paraId="2A589EE0" w14:textId="77777777" w:rsidR="00F1219F" w:rsidRPr="00F1219F" w:rsidRDefault="00F1219F" w:rsidP="00C74768">
            <w:pPr>
              <w:suppressAutoHyphens/>
              <w:ind w:right="51"/>
              <w:jc w:val="both"/>
              <w:rPr>
                <w:rFonts w:ascii="Geomanist" w:eastAsia="Times New Roman" w:hAnsi="Geomanist" w:cs="Arial"/>
                <w:lang w:eastAsia="ar-SA"/>
              </w:rPr>
            </w:pPr>
            <w:r w:rsidRPr="00F1219F">
              <w:rPr>
                <w:rFonts w:ascii="Geomanist" w:hAnsi="Geomanist"/>
                <w:bCs/>
              </w:rPr>
              <w:t>Titular de la División de Servicios Actuariales.</w:t>
            </w:r>
          </w:p>
        </w:tc>
        <w:tc>
          <w:tcPr>
            <w:tcW w:w="1413" w:type="pct"/>
            <w:vAlign w:val="center"/>
          </w:tcPr>
          <w:p w14:paraId="24D3C108" w14:textId="77777777" w:rsidR="00F1219F" w:rsidRPr="00F1219F" w:rsidRDefault="00F1219F" w:rsidP="00C74768">
            <w:pPr>
              <w:suppressAutoHyphens/>
              <w:ind w:right="51"/>
              <w:jc w:val="center"/>
              <w:rPr>
                <w:rFonts w:ascii="Geomanist" w:hAnsi="Geomanist" w:cstheme="minorBidi"/>
                <w:bCs/>
                <w:lang w:eastAsia="en-US"/>
              </w:rPr>
            </w:pPr>
            <w:r w:rsidRPr="00F1219F">
              <w:rPr>
                <w:rFonts w:ascii="Geomanist" w:hAnsi="Geomanist"/>
                <w:bCs/>
              </w:rPr>
              <w:t>Área técnica</w:t>
            </w:r>
          </w:p>
        </w:tc>
      </w:tr>
      <w:tr w:rsidR="00F1219F" w:rsidRPr="00F1219F" w14:paraId="17329522" w14:textId="77777777" w:rsidTr="00F1219F">
        <w:trPr>
          <w:trHeight w:val="421"/>
        </w:trPr>
        <w:tc>
          <w:tcPr>
            <w:tcW w:w="1478" w:type="pct"/>
            <w:vAlign w:val="center"/>
          </w:tcPr>
          <w:p w14:paraId="413913AD" w14:textId="77777777" w:rsidR="00F1219F" w:rsidRPr="00F1219F" w:rsidRDefault="00F1219F" w:rsidP="00C74768">
            <w:pPr>
              <w:suppressAutoHyphens/>
              <w:ind w:left="142" w:right="51"/>
              <w:rPr>
                <w:rFonts w:ascii="Geomanist" w:hAnsi="Geomanist"/>
                <w:bCs/>
              </w:rPr>
            </w:pPr>
            <w:r w:rsidRPr="00F1219F">
              <w:rPr>
                <w:rFonts w:ascii="Geomanist" w:hAnsi="Geomanist"/>
                <w:bCs/>
              </w:rPr>
              <w:t>Mtro. Miguel Angel Martínez Herrera</w:t>
            </w:r>
          </w:p>
        </w:tc>
        <w:tc>
          <w:tcPr>
            <w:tcW w:w="2110" w:type="pct"/>
            <w:vAlign w:val="center"/>
          </w:tcPr>
          <w:p w14:paraId="45B49DE0" w14:textId="77777777" w:rsidR="00F1219F" w:rsidRPr="00F1219F" w:rsidRDefault="00F1219F" w:rsidP="00C74768">
            <w:pPr>
              <w:suppressAutoHyphens/>
              <w:ind w:right="51"/>
              <w:jc w:val="both"/>
              <w:rPr>
                <w:rFonts w:ascii="Geomanist" w:hAnsi="Geomanist"/>
                <w:bCs/>
              </w:rPr>
            </w:pPr>
            <w:r w:rsidRPr="00F1219F">
              <w:rPr>
                <w:rFonts w:ascii="Geomanist" w:hAnsi="Geomanist"/>
                <w:bCs/>
              </w:rPr>
              <w:t>Titular del Área de Análisis Técnico y Actuarial</w:t>
            </w:r>
          </w:p>
        </w:tc>
        <w:tc>
          <w:tcPr>
            <w:tcW w:w="1413" w:type="pct"/>
            <w:vAlign w:val="center"/>
          </w:tcPr>
          <w:p w14:paraId="3D1985E6" w14:textId="77777777" w:rsidR="00F1219F" w:rsidRPr="00F1219F" w:rsidRDefault="00F1219F" w:rsidP="00C74768">
            <w:pPr>
              <w:suppressAutoHyphens/>
              <w:ind w:right="51"/>
              <w:jc w:val="center"/>
              <w:rPr>
                <w:rFonts w:ascii="Geomanist" w:hAnsi="Geomanist"/>
                <w:bCs/>
              </w:rPr>
            </w:pPr>
            <w:r w:rsidRPr="00F1219F">
              <w:rPr>
                <w:rFonts w:ascii="Geomanist" w:hAnsi="Geomanist"/>
                <w:bCs/>
              </w:rPr>
              <w:t>Área técnica</w:t>
            </w:r>
          </w:p>
        </w:tc>
      </w:tr>
    </w:tbl>
    <w:p w14:paraId="0A900542" w14:textId="77777777" w:rsidR="00F1219F" w:rsidRPr="00F1219F" w:rsidRDefault="00F1219F" w:rsidP="00F1219F">
      <w:pPr>
        <w:spacing w:line="264" w:lineRule="auto"/>
        <w:jc w:val="both"/>
        <w:rPr>
          <w:rFonts w:ascii="Geomanist" w:hAnsi="Geomanist"/>
          <w:sz w:val="21"/>
          <w:szCs w:val="21"/>
        </w:rPr>
      </w:pPr>
    </w:p>
    <w:p w14:paraId="52266887" w14:textId="77777777" w:rsidR="00F1219F" w:rsidRPr="00F1219F" w:rsidRDefault="00F1219F" w:rsidP="00F1219F">
      <w:pPr>
        <w:pStyle w:val="Ttulo2"/>
        <w:numPr>
          <w:ilvl w:val="0"/>
          <w:numId w:val="48"/>
        </w:numPr>
        <w:tabs>
          <w:tab w:val="num" w:pos="360"/>
        </w:tabs>
        <w:spacing w:before="0" w:line="264" w:lineRule="auto"/>
        <w:ind w:left="426" w:hanging="320"/>
        <w:rPr>
          <w:rFonts w:ascii="Geomanist" w:hAnsi="Geomanist"/>
          <w:color w:val="auto"/>
          <w:sz w:val="22"/>
          <w:szCs w:val="22"/>
        </w:rPr>
      </w:pPr>
      <w:r w:rsidRPr="00F1219F">
        <w:rPr>
          <w:rFonts w:ascii="Geomanist" w:hAnsi="Geomanist"/>
          <w:color w:val="auto"/>
          <w:sz w:val="22"/>
          <w:szCs w:val="22"/>
        </w:rPr>
        <w:t>Lugar de entrega</w:t>
      </w:r>
    </w:p>
    <w:p w14:paraId="2684DBAF" w14:textId="77777777" w:rsidR="00F1219F" w:rsidRPr="00F1219F" w:rsidRDefault="00F1219F" w:rsidP="00F1219F">
      <w:pPr>
        <w:spacing w:line="264" w:lineRule="auto"/>
        <w:jc w:val="both"/>
        <w:rPr>
          <w:rFonts w:ascii="Geomanist" w:hAnsi="Geomanist" w:cs="Times New Roman"/>
          <w:sz w:val="22"/>
          <w:szCs w:val="22"/>
        </w:rPr>
      </w:pPr>
    </w:p>
    <w:p w14:paraId="51EC9DD8"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 xml:space="preserve">Los productos o entregables que </w:t>
      </w:r>
      <w:r w:rsidRPr="00F1219F">
        <w:rPr>
          <w:rFonts w:ascii="Geomanist" w:hAnsi="Geomanist"/>
          <w:sz w:val="22"/>
          <w:szCs w:val="22"/>
        </w:rPr>
        <w:t xml:space="preserve">resulten de la prestación de los servicios que se deriven de las actividades establecidas para cada una de las partidas 1, 2 y 3 </w:t>
      </w:r>
      <w:r w:rsidRPr="00F1219F">
        <w:rPr>
          <w:rFonts w:ascii="Geomanist" w:hAnsi="Geomanist" w:cs="Times New Roman"/>
          <w:sz w:val="22"/>
          <w:szCs w:val="22"/>
        </w:rPr>
        <w:t xml:space="preserve">en el Anexo Técnico que se incluye en el Anexo Número 1 (UNO) de la convocatoria deberán entregarse en las oficinas de la Titular de la </w:t>
      </w:r>
      <w:r w:rsidRPr="00F1219F">
        <w:rPr>
          <w:rFonts w:ascii="Geomanist" w:hAnsi="Geomanist"/>
          <w:bCs/>
          <w:sz w:val="22"/>
          <w:szCs w:val="22"/>
        </w:rPr>
        <w:t>Coordinación de Administración de Riesgos Institucionales</w:t>
      </w:r>
      <w:r w:rsidRPr="00F1219F">
        <w:rPr>
          <w:rFonts w:ascii="Geomanist" w:hAnsi="Geomanist" w:cs="Times New Roman"/>
          <w:sz w:val="22"/>
          <w:szCs w:val="22"/>
        </w:rPr>
        <w:t>, sita en la calle Gobernador Tiburcio Montiel No. 15, 4° piso, Col. San Miguel Chapultepec, Demarcación Territorial Miguel Hidalgo, C. P. 11850, en la Ciudad de México o en cualquier otro domicilio que designe el Instituto.</w:t>
      </w:r>
    </w:p>
    <w:p w14:paraId="7D703611" w14:textId="16B6718F" w:rsidR="00F03D19" w:rsidRDefault="00F03D19">
      <w:pPr>
        <w:rPr>
          <w:rFonts w:ascii="Geomanist" w:hAnsi="Geomanist" w:cs="Times New Roman"/>
          <w:sz w:val="22"/>
          <w:szCs w:val="22"/>
        </w:rPr>
      </w:pPr>
      <w:r>
        <w:rPr>
          <w:rFonts w:ascii="Geomanist" w:hAnsi="Geomanist" w:cs="Times New Roman"/>
          <w:sz w:val="22"/>
          <w:szCs w:val="22"/>
        </w:rPr>
        <w:br w:type="page"/>
      </w:r>
    </w:p>
    <w:p w14:paraId="54D718C5" w14:textId="77777777" w:rsidR="00F1219F" w:rsidRPr="00F1219F" w:rsidRDefault="00F1219F" w:rsidP="00F1219F">
      <w:pPr>
        <w:pStyle w:val="Ttulo2"/>
        <w:numPr>
          <w:ilvl w:val="0"/>
          <w:numId w:val="48"/>
        </w:numPr>
        <w:tabs>
          <w:tab w:val="num" w:pos="360"/>
        </w:tabs>
        <w:spacing w:before="0" w:line="264" w:lineRule="auto"/>
        <w:ind w:left="426" w:hanging="320"/>
        <w:rPr>
          <w:rFonts w:ascii="Geomanist" w:hAnsi="Geomanist"/>
          <w:color w:val="auto"/>
          <w:sz w:val="22"/>
          <w:szCs w:val="22"/>
        </w:rPr>
      </w:pPr>
      <w:r w:rsidRPr="00F1219F">
        <w:rPr>
          <w:rFonts w:ascii="Geomanist" w:hAnsi="Geomanist"/>
          <w:color w:val="auto"/>
          <w:sz w:val="22"/>
          <w:szCs w:val="22"/>
        </w:rPr>
        <w:lastRenderedPageBreak/>
        <w:t>Condiciones de entrega del servicio.</w:t>
      </w:r>
    </w:p>
    <w:p w14:paraId="5ADE1B4D" w14:textId="77777777" w:rsidR="00F1219F" w:rsidRPr="00F1219F" w:rsidRDefault="00F1219F" w:rsidP="00F1219F">
      <w:pPr>
        <w:spacing w:line="264" w:lineRule="auto"/>
        <w:jc w:val="both"/>
        <w:rPr>
          <w:rFonts w:ascii="Geomanist" w:hAnsi="Geomanist" w:cs="Times New Roman"/>
          <w:sz w:val="22"/>
          <w:szCs w:val="22"/>
        </w:rPr>
      </w:pPr>
    </w:p>
    <w:p w14:paraId="15CA3BBB" w14:textId="77777777" w:rsidR="00F1219F" w:rsidRPr="00F1219F" w:rsidRDefault="00F1219F" w:rsidP="00F1219F">
      <w:pPr>
        <w:pStyle w:val="Ttulo2"/>
        <w:numPr>
          <w:ilvl w:val="1"/>
          <w:numId w:val="48"/>
        </w:numPr>
        <w:tabs>
          <w:tab w:val="num" w:pos="360"/>
        </w:tabs>
        <w:spacing w:before="0" w:line="264" w:lineRule="auto"/>
        <w:ind w:left="0" w:firstLine="0"/>
        <w:rPr>
          <w:rFonts w:ascii="Geomanist" w:hAnsi="Geomanist"/>
          <w:color w:val="auto"/>
          <w:sz w:val="22"/>
          <w:szCs w:val="22"/>
        </w:rPr>
      </w:pPr>
      <w:r w:rsidRPr="00F1219F">
        <w:rPr>
          <w:rFonts w:ascii="Geomanist" w:hAnsi="Geomanist"/>
          <w:color w:val="auto"/>
          <w:sz w:val="22"/>
          <w:szCs w:val="22"/>
        </w:rPr>
        <w:t>Administrador del contrato</w:t>
      </w:r>
    </w:p>
    <w:p w14:paraId="0A6237D9" w14:textId="77777777" w:rsidR="00F1219F" w:rsidRPr="00F1219F" w:rsidRDefault="00F1219F" w:rsidP="00F1219F">
      <w:pPr>
        <w:spacing w:line="264" w:lineRule="auto"/>
        <w:jc w:val="both"/>
        <w:rPr>
          <w:rFonts w:ascii="Geomanist" w:hAnsi="Geomanist" w:cs="Times New Roman"/>
          <w:sz w:val="22"/>
          <w:szCs w:val="22"/>
        </w:rPr>
      </w:pPr>
    </w:p>
    <w:p w14:paraId="75053B2C"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La administración del o de los contratos que se formalicen para la prestación de los servicios de cada una de las partidas 1, 2 y 3 adjudicadas estará a cargo de la Act. Mónica Cervantes Fernández, Titular de la Coordinación de Administración de Riesgos Institucionales y será auxiliada para el debido cumplimiento de sus obligaciones por la Act. Jana Lorena Rubio Vázquez titular de la División de Servicios Actuariales adscrita a dicha Coordinación, conforme a lo establecido en el numeral 5.3.15, segundo párrafo de las POBALINES.</w:t>
      </w:r>
    </w:p>
    <w:p w14:paraId="64BC01CA" w14:textId="77777777" w:rsidR="00F1219F" w:rsidRPr="00F1219F" w:rsidRDefault="00F1219F" w:rsidP="00F1219F">
      <w:pPr>
        <w:spacing w:line="264" w:lineRule="auto"/>
        <w:rPr>
          <w:rFonts w:ascii="Geomanist" w:eastAsiaTheme="minorHAnsi" w:hAnsi="Geomanist" w:cs="Times New Roman"/>
          <w:sz w:val="22"/>
          <w:szCs w:val="22"/>
        </w:rPr>
      </w:pPr>
    </w:p>
    <w:p w14:paraId="1B9D9780" w14:textId="77777777" w:rsidR="00F1219F" w:rsidRPr="00F1219F" w:rsidRDefault="00F1219F" w:rsidP="00F1219F">
      <w:pPr>
        <w:pStyle w:val="Ttulo2"/>
        <w:numPr>
          <w:ilvl w:val="1"/>
          <w:numId w:val="48"/>
        </w:numPr>
        <w:tabs>
          <w:tab w:val="num" w:pos="360"/>
        </w:tabs>
        <w:spacing w:before="0" w:line="264" w:lineRule="auto"/>
        <w:ind w:left="578" w:hanging="578"/>
        <w:rPr>
          <w:rFonts w:ascii="Geomanist" w:hAnsi="Geomanist"/>
          <w:color w:val="auto"/>
          <w:sz w:val="22"/>
          <w:szCs w:val="22"/>
        </w:rPr>
      </w:pPr>
      <w:r w:rsidRPr="00F1219F">
        <w:rPr>
          <w:rFonts w:ascii="Geomanist" w:hAnsi="Geomanist"/>
          <w:color w:val="auto"/>
          <w:sz w:val="22"/>
          <w:szCs w:val="22"/>
        </w:rPr>
        <w:t>Entrega recepción del servicio</w:t>
      </w:r>
    </w:p>
    <w:p w14:paraId="07C9B94F" w14:textId="77777777" w:rsidR="00F1219F" w:rsidRPr="00F1219F" w:rsidRDefault="00F1219F" w:rsidP="00F1219F">
      <w:pPr>
        <w:spacing w:line="264" w:lineRule="auto"/>
        <w:jc w:val="both"/>
        <w:rPr>
          <w:rFonts w:ascii="Geomanist" w:hAnsi="Geomanist" w:cs="Times New Roman"/>
          <w:sz w:val="22"/>
          <w:szCs w:val="22"/>
        </w:rPr>
      </w:pPr>
    </w:p>
    <w:p w14:paraId="60D6BAD4" w14:textId="77777777" w:rsidR="00F1219F" w:rsidRPr="00F1219F" w:rsidRDefault="00F1219F" w:rsidP="00F1219F">
      <w:pPr>
        <w:spacing w:line="264" w:lineRule="auto"/>
        <w:jc w:val="both"/>
        <w:rPr>
          <w:rFonts w:ascii="Geomanist" w:hAnsi="Geomanist" w:cs="Times New Roman"/>
          <w:sz w:val="22"/>
          <w:szCs w:val="22"/>
        </w:rPr>
      </w:pPr>
      <w:r w:rsidRPr="00F1219F">
        <w:rPr>
          <w:rFonts w:ascii="Geomanist" w:hAnsi="Geomanist" w:cs="Times New Roman"/>
          <w:sz w:val="22"/>
          <w:szCs w:val="22"/>
        </w:rPr>
        <w:t>Para la entrega del servicio, el responsable de la administración del contrato elaborará el Acta de Entrega-Recepción de la prestación del servicio conforme a lo señalado en el numeral 5.5.3.5 de los POBALINES.</w:t>
      </w:r>
    </w:p>
    <w:p w14:paraId="28CA3A86" w14:textId="77777777" w:rsidR="00F1219F" w:rsidRPr="00F1219F" w:rsidRDefault="00F1219F" w:rsidP="00F1219F">
      <w:pPr>
        <w:spacing w:line="264" w:lineRule="auto"/>
        <w:jc w:val="both"/>
        <w:rPr>
          <w:rFonts w:ascii="Geomanist" w:hAnsi="Geomanist" w:cs="Times New Roman"/>
          <w:sz w:val="22"/>
          <w:szCs w:val="22"/>
        </w:rPr>
      </w:pPr>
    </w:p>
    <w:p w14:paraId="7133E28B" w14:textId="77777777" w:rsidR="00F1219F" w:rsidRPr="00F1219F" w:rsidRDefault="00F1219F" w:rsidP="00F1219F">
      <w:pPr>
        <w:spacing w:line="264" w:lineRule="auto"/>
        <w:jc w:val="both"/>
        <w:rPr>
          <w:rFonts w:ascii="Geomanist" w:hAnsi="Geomanist" w:cs="Times New Roman"/>
          <w:sz w:val="22"/>
          <w:szCs w:val="22"/>
          <w:lang w:val="pt-PT"/>
        </w:rPr>
      </w:pPr>
      <w:r w:rsidRPr="00F1219F">
        <w:rPr>
          <w:rFonts w:ascii="Geomanist" w:hAnsi="Geomanist" w:cs="Times New Roman"/>
          <w:sz w:val="22"/>
          <w:szCs w:val="22"/>
          <w:lang w:val="pt-PT"/>
        </w:rPr>
        <w:t>Atentamente</w:t>
      </w:r>
    </w:p>
    <w:p w14:paraId="6E86F3B7" w14:textId="77777777" w:rsidR="00F1219F" w:rsidRDefault="00F1219F" w:rsidP="00F1219F">
      <w:pPr>
        <w:spacing w:line="264" w:lineRule="auto"/>
        <w:jc w:val="both"/>
        <w:rPr>
          <w:rFonts w:ascii="Geomanist" w:hAnsi="Geomanist" w:cs="Times New Roman"/>
          <w:sz w:val="22"/>
          <w:szCs w:val="22"/>
          <w:lang w:val="pt-PT"/>
        </w:rPr>
      </w:pPr>
    </w:p>
    <w:p w14:paraId="51AAB070" w14:textId="77777777" w:rsidR="00294FAC" w:rsidRDefault="00294FAC" w:rsidP="00F1219F">
      <w:pPr>
        <w:spacing w:line="264" w:lineRule="auto"/>
        <w:jc w:val="both"/>
        <w:rPr>
          <w:rFonts w:ascii="Geomanist" w:hAnsi="Geomanist" w:cs="Times New Roman"/>
          <w:sz w:val="22"/>
          <w:szCs w:val="22"/>
          <w:lang w:val="pt-PT"/>
        </w:rPr>
      </w:pPr>
    </w:p>
    <w:p w14:paraId="5023FCD9" w14:textId="77777777" w:rsidR="00294FAC" w:rsidRPr="00F1219F" w:rsidRDefault="00294FAC" w:rsidP="00F1219F">
      <w:pPr>
        <w:spacing w:line="264" w:lineRule="auto"/>
        <w:jc w:val="both"/>
        <w:rPr>
          <w:rFonts w:ascii="Geomanist" w:hAnsi="Geomanist" w:cs="Times New Roman"/>
          <w:sz w:val="22"/>
          <w:szCs w:val="22"/>
          <w:lang w:val="pt-PT"/>
        </w:rPr>
      </w:pPr>
    </w:p>
    <w:p w14:paraId="445D6E55" w14:textId="77777777" w:rsidR="00F1219F" w:rsidRPr="00F1219F" w:rsidRDefault="00F1219F" w:rsidP="00F1219F">
      <w:pPr>
        <w:spacing w:line="264" w:lineRule="auto"/>
        <w:jc w:val="both"/>
        <w:rPr>
          <w:rFonts w:ascii="Geomanist" w:hAnsi="Geomanist" w:cs="Times New Roman"/>
          <w:b/>
          <w:bCs/>
          <w:sz w:val="22"/>
          <w:szCs w:val="22"/>
          <w:lang w:val="pt-PT"/>
        </w:rPr>
      </w:pPr>
      <w:r w:rsidRPr="00F1219F">
        <w:rPr>
          <w:rFonts w:ascii="Geomanist" w:hAnsi="Geomanist" w:cs="Times New Roman"/>
          <w:b/>
          <w:bCs/>
          <w:sz w:val="22"/>
          <w:szCs w:val="22"/>
          <w:lang w:val="pt-PT"/>
        </w:rPr>
        <w:t>Act. Mónica Cervantes Fernández</w:t>
      </w:r>
    </w:p>
    <w:p w14:paraId="24A79660" w14:textId="3F6974A0" w:rsidR="00330DC8" w:rsidRPr="00F1219F" w:rsidRDefault="00F1219F" w:rsidP="00F1219F">
      <w:pPr>
        <w:spacing w:line="264" w:lineRule="auto"/>
        <w:jc w:val="both"/>
        <w:rPr>
          <w:rFonts w:ascii="Geomanist" w:hAnsi="Geomanist"/>
          <w:lang w:val="pt-PT"/>
        </w:rPr>
      </w:pPr>
      <w:r w:rsidRPr="00F1219F">
        <w:rPr>
          <w:rFonts w:ascii="Geomanist" w:hAnsi="Geomanist" w:cs="Times New Roman"/>
          <w:sz w:val="22"/>
          <w:szCs w:val="22"/>
          <w:lang w:val="pt-PT"/>
        </w:rPr>
        <w:t>Titular</w:t>
      </w:r>
    </w:p>
    <w:sectPr w:rsidR="00330DC8" w:rsidRPr="00F1219F" w:rsidSect="00937A9D">
      <w:headerReference w:type="default" r:id="rId11"/>
      <w:footerReference w:type="default" r:id="rId12"/>
      <w:pgSz w:w="12240" w:h="15840" w:code="1"/>
      <w:pgMar w:top="2342" w:right="1701" w:bottom="1418" w:left="1701" w:header="709"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F7666" w14:textId="77777777" w:rsidR="00524253" w:rsidRDefault="00524253" w:rsidP="00A73D65">
      <w:r>
        <w:separator/>
      </w:r>
    </w:p>
  </w:endnote>
  <w:endnote w:type="continuationSeparator" w:id="0">
    <w:p w14:paraId="47D95CEA" w14:textId="77777777" w:rsidR="00524253" w:rsidRDefault="00524253"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altName w:val="Montserrat Regular"/>
    <w:panose1 w:val="00000500000000000000"/>
    <w:charset w:val="00"/>
    <w:family w:val="auto"/>
    <w:pitch w:val="variable"/>
    <w:sig w:usb0="2000020F" w:usb1="00000003"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Medium">
    <w:panose1 w:val="00000600000000000000"/>
    <w:charset w:val="00"/>
    <w:family w:val="auto"/>
    <w:pitch w:val="variable"/>
    <w:sig w:usb0="2000020F" w:usb1="00000003"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LT Std Light">
    <w:panose1 w:val="00000000000000000000"/>
    <w:charset w:val="00"/>
    <w:family w:val="swiss"/>
    <w:notTrueType/>
    <w:pitch w:val="variable"/>
    <w:sig w:usb0="800000AF" w:usb1="4000204A" w:usb2="00000000" w:usb3="00000000" w:csb0="00000001" w:csb1="00000000"/>
  </w:font>
  <w:font w:name="Soberana Sans Light">
    <w:altName w:val="Calibri"/>
    <w:panose1 w:val="00000000000000000000"/>
    <w:charset w:val="00"/>
    <w:family w:val="modern"/>
    <w:notTrueType/>
    <w:pitch w:val="variable"/>
    <w:sig w:usb0="800000AF" w:usb1="4000204B" w:usb2="00000000" w:usb3="00000000" w:csb0="00000001" w:csb1="00000000"/>
  </w:font>
  <w:font w:name="Univers (W1)">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Geomanist">
    <w:altName w:val="Calibri"/>
    <w:panose1 w:val="02000503000000020004"/>
    <w:charset w:val="00"/>
    <w:family w:val="modern"/>
    <w:notTrueType/>
    <w:pitch w:val="variable"/>
    <w:sig w:usb0="A000002F" w:usb1="1000004A" w:usb2="00000000" w:usb3="00000000" w:csb0="00000193" w:csb1="00000000"/>
  </w:font>
  <w:font w:name="Geomanist Medium">
    <w:panose1 w:val="02000603000000020004"/>
    <w:charset w:val="00"/>
    <w:family w:val="modern"/>
    <w:notTrueType/>
    <w:pitch w:val="variable"/>
    <w:sig w:usb0="A000002F" w:usb1="1000004A"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91D03" w14:textId="62D169E2" w:rsidR="00A73D65" w:rsidRDefault="00BE07EA">
    <w:pPr>
      <w:pStyle w:val="Piedepgina"/>
    </w:pPr>
    <w:r>
      <w:rPr>
        <w:noProof/>
      </w:rPr>
      <mc:AlternateContent>
        <mc:Choice Requires="wps">
          <w:drawing>
            <wp:anchor distT="0" distB="0" distL="114300" distR="114300" simplePos="0" relativeHeight="251659263" behindDoc="0" locked="0" layoutInCell="1" allowOverlap="1" wp14:anchorId="7D9AD789" wp14:editId="2A962B1F">
              <wp:simplePos x="0" y="0"/>
              <wp:positionH relativeFrom="margin">
                <wp:posOffset>843915</wp:posOffset>
              </wp:positionH>
              <wp:positionV relativeFrom="paragraph">
                <wp:posOffset>431800</wp:posOffset>
              </wp:positionV>
              <wp:extent cx="3810000" cy="200025"/>
              <wp:effectExtent l="0" t="0" r="0" b="0"/>
              <wp:wrapNone/>
              <wp:docPr id="140390878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200025"/>
                      </a:xfrm>
                      <a:prstGeom prst="rect">
                        <a:avLst/>
                      </a:prstGeom>
                      <a:noFill/>
                      <a:ln w="6350">
                        <a:noFill/>
                      </a:ln>
                    </wps:spPr>
                    <wps:txbx>
                      <w:txbxContent>
                        <w:p w14:paraId="021A6C99" w14:textId="513ECB47" w:rsidR="00BE1530" w:rsidRPr="00BE07EA" w:rsidRDefault="00BE1530" w:rsidP="00BE1530">
                          <w:pPr>
                            <w:spacing w:line="140" w:lineRule="exact"/>
                            <w:jc w:val="center"/>
                            <w:rPr>
                              <w:rFonts w:ascii="Geomanist" w:hAnsi="Geomanist"/>
                              <w:bCs/>
                              <w:color w:val="4D192A"/>
                              <w:sz w:val="8"/>
                              <w:szCs w:val="8"/>
                            </w:rPr>
                          </w:pPr>
                          <w:r w:rsidRPr="00BE07EA">
                            <w:rPr>
                              <w:rFonts w:ascii="Geomanist" w:hAnsi="Geomanist"/>
                              <w:bCs/>
                              <w:color w:val="4D192A"/>
                              <w:sz w:val="8"/>
                              <w:szCs w:val="8"/>
                              <w:lang w:val="es-MX"/>
                            </w:rPr>
                            <w:t xml:space="preserve">Página </w:t>
                          </w:r>
                          <w:r w:rsidRPr="00BE07EA">
                            <w:rPr>
                              <w:rFonts w:ascii="Geomanist" w:hAnsi="Geomanist"/>
                              <w:bCs/>
                              <w:color w:val="4D192A"/>
                              <w:sz w:val="8"/>
                              <w:szCs w:val="8"/>
                            </w:rPr>
                            <w:fldChar w:fldCharType="begin"/>
                          </w:r>
                          <w:r w:rsidRPr="00BE07EA">
                            <w:rPr>
                              <w:rFonts w:ascii="Geomanist" w:hAnsi="Geomanist"/>
                              <w:bCs/>
                              <w:color w:val="4D192A"/>
                              <w:sz w:val="8"/>
                              <w:szCs w:val="8"/>
                            </w:rPr>
                            <w:instrText>PAGE  \* Arabic  \* MERGEFORMAT</w:instrText>
                          </w:r>
                          <w:r w:rsidRPr="00BE07EA">
                            <w:rPr>
                              <w:rFonts w:ascii="Geomanist" w:hAnsi="Geomanist"/>
                              <w:bCs/>
                              <w:color w:val="4D192A"/>
                              <w:sz w:val="8"/>
                              <w:szCs w:val="8"/>
                            </w:rPr>
                            <w:fldChar w:fldCharType="separate"/>
                          </w:r>
                          <w:r w:rsidRPr="00BE07EA">
                            <w:rPr>
                              <w:rFonts w:ascii="Geomanist" w:hAnsi="Geomanist"/>
                              <w:bCs/>
                              <w:noProof/>
                              <w:color w:val="4D192A"/>
                              <w:sz w:val="8"/>
                              <w:szCs w:val="8"/>
                              <w:lang w:val="es-MX"/>
                            </w:rPr>
                            <w:t>1</w:t>
                          </w:r>
                          <w:r w:rsidRPr="00BE07EA">
                            <w:rPr>
                              <w:rFonts w:ascii="Geomanist" w:hAnsi="Geomanist"/>
                              <w:bCs/>
                              <w:color w:val="4D192A"/>
                              <w:sz w:val="8"/>
                              <w:szCs w:val="8"/>
                            </w:rPr>
                            <w:fldChar w:fldCharType="end"/>
                          </w:r>
                          <w:r w:rsidRPr="00BE07EA">
                            <w:rPr>
                              <w:rFonts w:ascii="Geomanist" w:hAnsi="Geomanist"/>
                              <w:bCs/>
                              <w:color w:val="4D192A"/>
                              <w:sz w:val="8"/>
                              <w:szCs w:val="8"/>
                              <w:lang w:val="es-MX"/>
                            </w:rPr>
                            <w:t xml:space="preserve"> de</w:t>
                          </w:r>
                          <w:r w:rsidR="00BE07EA">
                            <w:rPr>
                              <w:rFonts w:ascii="Geomanist" w:hAnsi="Geomanist"/>
                              <w:bCs/>
                              <w:color w:val="4D192A"/>
                              <w:sz w:val="8"/>
                              <w:szCs w:val="8"/>
                              <w:lang w:val="es-MX"/>
                            </w:rPr>
                            <w:t xml:space="preserve"> </w:t>
                          </w:r>
                          <w:r w:rsidRPr="00BE07EA">
                            <w:rPr>
                              <w:rFonts w:ascii="Geomanist" w:hAnsi="Geomanist"/>
                              <w:bCs/>
                              <w:color w:val="4D192A"/>
                              <w:sz w:val="8"/>
                              <w:szCs w:val="8"/>
                              <w:lang w:val="es-MX"/>
                            </w:rPr>
                            <w:t xml:space="preserve"> </w:t>
                          </w:r>
                          <w:r w:rsidR="00BE07EA">
                            <w:rPr>
                              <w:rFonts w:ascii="Geomanist" w:hAnsi="Geomanist"/>
                              <w:bCs/>
                              <w:color w:val="4D192A"/>
                              <w:sz w:val="8"/>
                              <w:szCs w:val="8"/>
                              <w:lang w:val="es-MX"/>
                            </w:rPr>
                            <w:fldChar w:fldCharType="begin"/>
                          </w:r>
                          <w:r w:rsidR="00BE07EA">
                            <w:rPr>
                              <w:rFonts w:ascii="Geomanist" w:hAnsi="Geomanist"/>
                              <w:bCs/>
                              <w:color w:val="4D192A"/>
                              <w:sz w:val="8"/>
                              <w:szCs w:val="8"/>
                              <w:lang w:val="es-MX"/>
                            </w:rPr>
                            <w:instrText xml:space="preserve"> NUMPAGES  \* Arabic  \* MERGEFORMAT </w:instrText>
                          </w:r>
                          <w:r w:rsidR="00BE07EA">
                            <w:rPr>
                              <w:rFonts w:ascii="Geomanist" w:hAnsi="Geomanist"/>
                              <w:bCs/>
                              <w:color w:val="4D192A"/>
                              <w:sz w:val="8"/>
                              <w:szCs w:val="8"/>
                              <w:lang w:val="es-MX"/>
                            </w:rPr>
                            <w:fldChar w:fldCharType="separate"/>
                          </w:r>
                          <w:r w:rsidR="00BE07EA">
                            <w:rPr>
                              <w:rFonts w:ascii="Geomanist" w:hAnsi="Geomanist"/>
                              <w:bCs/>
                              <w:noProof/>
                              <w:color w:val="4D192A"/>
                              <w:sz w:val="8"/>
                              <w:szCs w:val="8"/>
                              <w:lang w:val="es-MX"/>
                            </w:rPr>
                            <w:t>19</w:t>
                          </w:r>
                          <w:r w:rsidR="00BE07EA">
                            <w:rPr>
                              <w:rFonts w:ascii="Geomanist" w:hAnsi="Geomanist"/>
                              <w:bCs/>
                              <w:color w:val="4D192A"/>
                              <w:sz w:val="8"/>
                              <w:szCs w:val="8"/>
                              <w:lang w:val="es-MX"/>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9AD789" id="_x0000_t202" coordsize="21600,21600" o:spt="202" path="m,l,21600r21600,l21600,xe">
              <v:stroke joinstyle="miter"/>
              <v:path gradientshapeok="t" o:connecttype="rect"/>
            </v:shapetype>
            <v:shape id="Cuadro de texto 2" o:spid="_x0000_s1026" type="#_x0000_t202" style="position:absolute;margin-left:66.45pt;margin-top:34pt;width:300pt;height:15.75pt;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" filled="f" stroked="f" strokeweight=".5pt">
              <v:textbox>
                <w:txbxContent>
                  <w:p w14:paraId="021A6C99" w14:textId="513ECB47" w:rsidR="00BE1530" w:rsidRPr="00BE07EA" w:rsidRDefault="00BE1530" w:rsidP="00BE1530">
                    <w:pPr>
                      <w:spacing w:line="140" w:lineRule="exact"/>
                      <w:jc w:val="center"/>
                      <w:rPr>
                        <w:rFonts w:ascii="Geomanist" w:hAnsi="Geomanist"/>
                        <w:bCs/>
                        <w:color w:val="4D192A"/>
                        <w:sz w:val="8"/>
                        <w:szCs w:val="8"/>
                      </w:rPr>
                    </w:pPr>
                    <w:r w:rsidRPr="00BE07EA">
                      <w:rPr>
                        <w:rFonts w:ascii="Geomanist" w:hAnsi="Geomanist"/>
                        <w:bCs/>
                        <w:color w:val="4D192A"/>
                        <w:sz w:val="8"/>
                        <w:szCs w:val="8"/>
                        <w:lang w:val="es-MX"/>
                      </w:rPr>
                      <w:t xml:space="preserve">Página </w:t>
                    </w:r>
                    <w:r w:rsidRPr="00BE07EA">
                      <w:rPr>
                        <w:rFonts w:ascii="Geomanist" w:hAnsi="Geomanist"/>
                        <w:bCs/>
                        <w:color w:val="4D192A"/>
                        <w:sz w:val="8"/>
                        <w:szCs w:val="8"/>
                      </w:rPr>
                      <w:fldChar w:fldCharType="begin"/>
                    </w:r>
                    <w:r w:rsidRPr="00BE07EA">
                      <w:rPr>
                        <w:rFonts w:ascii="Geomanist" w:hAnsi="Geomanist"/>
                        <w:bCs/>
                        <w:color w:val="4D192A"/>
                        <w:sz w:val="8"/>
                        <w:szCs w:val="8"/>
                      </w:rPr>
                      <w:instrText>PAGE  \* Arabic  \* MERGEFORMAT</w:instrText>
                    </w:r>
                    <w:r w:rsidRPr="00BE07EA">
                      <w:rPr>
                        <w:rFonts w:ascii="Geomanist" w:hAnsi="Geomanist"/>
                        <w:bCs/>
                        <w:color w:val="4D192A"/>
                        <w:sz w:val="8"/>
                        <w:szCs w:val="8"/>
                      </w:rPr>
                      <w:fldChar w:fldCharType="separate"/>
                    </w:r>
                    <w:r w:rsidRPr="00BE07EA">
                      <w:rPr>
                        <w:rFonts w:ascii="Geomanist" w:hAnsi="Geomanist"/>
                        <w:bCs/>
                        <w:noProof/>
                        <w:color w:val="4D192A"/>
                        <w:sz w:val="8"/>
                        <w:szCs w:val="8"/>
                        <w:lang w:val="es-MX"/>
                      </w:rPr>
                      <w:t>1</w:t>
                    </w:r>
                    <w:r w:rsidRPr="00BE07EA">
                      <w:rPr>
                        <w:rFonts w:ascii="Geomanist" w:hAnsi="Geomanist"/>
                        <w:bCs/>
                        <w:color w:val="4D192A"/>
                        <w:sz w:val="8"/>
                        <w:szCs w:val="8"/>
                      </w:rPr>
                      <w:fldChar w:fldCharType="end"/>
                    </w:r>
                    <w:r w:rsidRPr="00BE07EA">
                      <w:rPr>
                        <w:rFonts w:ascii="Geomanist" w:hAnsi="Geomanist"/>
                        <w:bCs/>
                        <w:color w:val="4D192A"/>
                        <w:sz w:val="8"/>
                        <w:szCs w:val="8"/>
                        <w:lang w:val="es-MX"/>
                      </w:rPr>
                      <w:t xml:space="preserve"> de</w:t>
                    </w:r>
                    <w:r w:rsidR="00BE07EA">
                      <w:rPr>
                        <w:rFonts w:ascii="Geomanist" w:hAnsi="Geomanist"/>
                        <w:bCs/>
                        <w:color w:val="4D192A"/>
                        <w:sz w:val="8"/>
                        <w:szCs w:val="8"/>
                        <w:lang w:val="es-MX"/>
                      </w:rPr>
                      <w:t xml:space="preserve"> </w:t>
                    </w:r>
                    <w:r w:rsidRPr="00BE07EA">
                      <w:rPr>
                        <w:rFonts w:ascii="Geomanist" w:hAnsi="Geomanist"/>
                        <w:bCs/>
                        <w:color w:val="4D192A"/>
                        <w:sz w:val="8"/>
                        <w:szCs w:val="8"/>
                        <w:lang w:val="es-MX"/>
                      </w:rPr>
                      <w:t xml:space="preserve"> </w:t>
                    </w:r>
                    <w:r w:rsidR="00BE07EA">
                      <w:rPr>
                        <w:rFonts w:ascii="Geomanist" w:hAnsi="Geomanist"/>
                        <w:bCs/>
                        <w:color w:val="4D192A"/>
                        <w:sz w:val="8"/>
                        <w:szCs w:val="8"/>
                        <w:lang w:val="es-MX"/>
                      </w:rPr>
                      <w:fldChar w:fldCharType="begin"/>
                    </w:r>
                    <w:r w:rsidR="00BE07EA">
                      <w:rPr>
                        <w:rFonts w:ascii="Geomanist" w:hAnsi="Geomanist"/>
                        <w:bCs/>
                        <w:color w:val="4D192A"/>
                        <w:sz w:val="8"/>
                        <w:szCs w:val="8"/>
                        <w:lang w:val="es-MX"/>
                      </w:rPr>
                      <w:instrText xml:space="preserve"> NUMPAGES  \* Arabic  \* MERGEFORMAT </w:instrText>
                    </w:r>
                    <w:r w:rsidR="00BE07EA">
                      <w:rPr>
                        <w:rFonts w:ascii="Geomanist" w:hAnsi="Geomanist"/>
                        <w:bCs/>
                        <w:color w:val="4D192A"/>
                        <w:sz w:val="8"/>
                        <w:szCs w:val="8"/>
                        <w:lang w:val="es-MX"/>
                      </w:rPr>
                      <w:fldChar w:fldCharType="separate"/>
                    </w:r>
                    <w:r w:rsidR="00BE07EA">
                      <w:rPr>
                        <w:rFonts w:ascii="Geomanist" w:hAnsi="Geomanist"/>
                        <w:bCs/>
                        <w:noProof/>
                        <w:color w:val="4D192A"/>
                        <w:sz w:val="8"/>
                        <w:szCs w:val="8"/>
                        <w:lang w:val="es-MX"/>
                      </w:rPr>
                      <w:t>19</w:t>
                    </w:r>
                    <w:r w:rsidR="00BE07EA">
                      <w:rPr>
                        <w:rFonts w:ascii="Geomanist" w:hAnsi="Geomanist"/>
                        <w:bCs/>
                        <w:color w:val="4D192A"/>
                        <w:sz w:val="8"/>
                        <w:szCs w:val="8"/>
                        <w:lang w:val="es-MX"/>
                      </w:rPr>
                      <w:fldChar w:fldCharType="end"/>
                    </w:r>
                  </w:p>
                </w:txbxContent>
              </v:textbox>
              <w10:wrap anchorx="margin"/>
            </v:shape>
          </w:pict>
        </mc:Fallback>
      </mc:AlternateContent>
    </w:r>
    <w:r w:rsidR="00CC5454">
      <w:rPr>
        <w:noProof/>
        <w:lang w:val="en-US"/>
      </w:rPr>
      <mc:AlternateContent>
        <mc:Choice Requires="wps">
          <w:drawing>
            <wp:anchor distT="0" distB="0" distL="114300" distR="114300" simplePos="0" relativeHeight="251660288" behindDoc="0" locked="0" layoutInCell="1" allowOverlap="1" wp14:anchorId="391FC72E" wp14:editId="7B7E4F43">
              <wp:simplePos x="0" y="0"/>
              <wp:positionH relativeFrom="column">
                <wp:posOffset>-744855</wp:posOffset>
              </wp:positionH>
              <wp:positionV relativeFrom="paragraph">
                <wp:posOffset>235585</wp:posOffset>
              </wp:positionV>
              <wp:extent cx="6057900" cy="304800"/>
              <wp:effectExtent l="0" t="0" r="0" b="0"/>
              <wp:wrapNone/>
              <wp:docPr id="379978026" name="Cuadro de texto 3"/>
              <wp:cNvGraphicFramePr/>
              <a:graphic xmlns:a="http://schemas.openxmlformats.org/drawingml/2006/main">
                <a:graphicData uri="http://schemas.microsoft.com/office/word/2010/wordprocessingShape">
                  <wps:wsp>
                    <wps:cNvSpPr txBox="1"/>
                    <wps:spPr>
                      <a:xfrm>
                        <a:off x="0" y="0"/>
                        <a:ext cx="6057900" cy="304800"/>
                      </a:xfrm>
                      <a:prstGeom prst="rect">
                        <a:avLst/>
                      </a:prstGeom>
                      <a:noFill/>
                      <a:ln w="6350">
                        <a:noFill/>
                      </a:ln>
                    </wps:spPr>
                    <wps:txbx>
                      <w:txbxContent>
                        <w:p w14:paraId="18D71277" w14:textId="2C41BB75" w:rsidR="00B87C85" w:rsidRPr="00BE07EA" w:rsidRDefault="00197E4F" w:rsidP="00B87C85">
                          <w:pPr>
                            <w:rPr>
                              <w:sz w:val="12"/>
                              <w:szCs w:val="12"/>
                            </w:rPr>
                          </w:pPr>
                          <w:r w:rsidRPr="00BE07EA">
                            <w:rPr>
                              <w:rFonts w:ascii="Geomanist Medium" w:hAnsi="Geomanist Medium"/>
                              <w:color w:val="4D192A"/>
                              <w:sz w:val="12"/>
                              <w:szCs w:val="12"/>
                            </w:rPr>
                            <w:t>Gobernador Tiburcio Montiel No. 15, Col. San Miguel Chapultepec, Alcaldía Miguel Hidalgo, C. P. 11850, Ciudad de México. Tel. 55 5238 2700, Ext. 18822. 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1FC72E" id="Cuadro de texto 3" o:spid="_x0000_s1027" type="#_x0000_t202" style="position:absolute;margin-left:-58.65pt;margin-top:18.55pt;width:477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" filled="f" stroked="f" strokeweight=".5pt">
              <v:textbox>
                <w:txbxContent>
                  <w:p w14:paraId="18D71277" w14:textId="2C41BB75" w:rsidR="00B87C85" w:rsidRPr="00BE07EA" w:rsidRDefault="00197E4F" w:rsidP="00B87C85">
                    <w:pPr>
                      <w:rPr>
                        <w:sz w:val="12"/>
                        <w:szCs w:val="12"/>
                      </w:rPr>
                    </w:pPr>
                    <w:r w:rsidRPr="00BE07EA">
                      <w:rPr>
                        <w:rFonts w:ascii="Geomanist Medium" w:hAnsi="Geomanist Medium"/>
                        <w:color w:val="4D192A"/>
                        <w:sz w:val="12"/>
                        <w:szCs w:val="12"/>
                      </w:rPr>
                      <w:t>Gobernador Tiburcio Montiel No. 15, Col. San Miguel Chapultepec, Alcaldía Miguel Hidalgo, C. P. 11850, Ciudad de México. Tel. 55 5238 2700, Ext. 18822. www.imss.gob.mx</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03B65" w14:textId="77777777" w:rsidR="00524253" w:rsidRDefault="00524253" w:rsidP="00A73D65">
      <w:r>
        <w:separator/>
      </w:r>
    </w:p>
  </w:footnote>
  <w:footnote w:type="continuationSeparator" w:id="0">
    <w:p w14:paraId="2085FA2C" w14:textId="77777777" w:rsidR="00524253" w:rsidRDefault="00524253" w:rsidP="00A73D65">
      <w:r>
        <w:continuationSeparator/>
      </w:r>
    </w:p>
  </w:footnote>
  <w:footnote w:id="1">
    <w:p w14:paraId="0A7123F5" w14:textId="2CCE1E3D" w:rsidR="003302D7" w:rsidRPr="00390A59" w:rsidRDefault="003302D7" w:rsidP="00390A59">
      <w:pPr>
        <w:pStyle w:val="Textonotapie"/>
        <w:tabs>
          <w:tab w:val="left" w:pos="142"/>
        </w:tabs>
        <w:ind w:left="98" w:hanging="98"/>
        <w:jc w:val="both"/>
        <w:rPr>
          <w:rFonts w:ascii="Geomanist" w:hAnsi="Geomanist"/>
          <w:sz w:val="14"/>
          <w:szCs w:val="14"/>
          <w:lang w:val="es-MX"/>
        </w:rPr>
      </w:pPr>
      <w:r w:rsidRPr="00390A59">
        <w:rPr>
          <w:rStyle w:val="Refdenotaalpie"/>
          <w:rFonts w:ascii="Geomanist" w:hAnsi="Geomanist"/>
          <w:sz w:val="14"/>
          <w:szCs w:val="14"/>
        </w:rPr>
        <w:footnoteRef/>
      </w:r>
      <w:r w:rsidRPr="00390A59">
        <w:rPr>
          <w:rFonts w:ascii="Geomanist" w:hAnsi="Geomanist"/>
          <w:sz w:val="14"/>
          <w:szCs w:val="14"/>
        </w:rPr>
        <w:t xml:space="preserve"> </w:t>
      </w:r>
      <w:r>
        <w:rPr>
          <w:rFonts w:ascii="Geomanist" w:hAnsi="Geomanist"/>
          <w:sz w:val="14"/>
          <w:szCs w:val="14"/>
        </w:rPr>
        <w:tab/>
      </w:r>
      <w:r w:rsidRPr="00390A59">
        <w:rPr>
          <w:rFonts w:ascii="Geomanist" w:hAnsi="Geomanist"/>
          <w:sz w:val="14"/>
          <w:szCs w:val="14"/>
        </w:rPr>
        <w:t xml:space="preserve">Los estudios </w:t>
      </w:r>
      <w:r w:rsidR="00390A59">
        <w:rPr>
          <w:rFonts w:ascii="Geomanist" w:hAnsi="Geomanist"/>
          <w:sz w:val="14"/>
          <w:szCs w:val="14"/>
        </w:rPr>
        <w:t>de servicios de consultoría actuarial y financiera con corte al 31 de diciembre de 2024</w:t>
      </w:r>
      <w:r w:rsidRPr="00390A59">
        <w:rPr>
          <w:rFonts w:ascii="Geomanist" w:hAnsi="Geomanist"/>
          <w:sz w:val="14"/>
          <w:szCs w:val="14"/>
        </w:rPr>
        <w:t xml:space="preserve"> se desarrollan para resolver problemas específicos no comunes en la Administración Pública Federal, por lo que la contratación de los servicios se realiza por partidas independientes, y la asignación de los servicios puede ser a más de un despacho, dependiendo de los resultados de la licitación correspondiente. Lo anterior, con el propósito de dar cumplimiento a lo que se establece en los Artículos 268, fracciones V, VI y XI; 273 y 277 D de la LSS, así como al Artículo tercero transitorio de la reforma a la LSS del 11 de agosto de 2004. Los resultados que se obtienen de los estudios de consultoría actuarial y financiera se reportan de forma anual en los siguientes documentos: i) El Estado de Ingresos y Gastos; </w:t>
      </w:r>
      <w:proofErr w:type="spellStart"/>
      <w:r w:rsidRPr="00390A59">
        <w:rPr>
          <w:rFonts w:ascii="Geomanist" w:hAnsi="Geomanist"/>
          <w:sz w:val="14"/>
          <w:szCs w:val="14"/>
        </w:rPr>
        <w:t>ii</w:t>
      </w:r>
      <w:proofErr w:type="spellEnd"/>
      <w:r w:rsidRPr="00390A59">
        <w:rPr>
          <w:rFonts w:ascii="Geomanist" w:hAnsi="Geomanist"/>
          <w:sz w:val="14"/>
          <w:szCs w:val="14"/>
        </w:rPr>
        <w:t xml:space="preserve">) El Informe Financiero y Actuarial; y, </w:t>
      </w:r>
      <w:proofErr w:type="spellStart"/>
      <w:r w:rsidRPr="00390A59">
        <w:rPr>
          <w:rFonts w:ascii="Geomanist" w:hAnsi="Geomanist"/>
          <w:sz w:val="14"/>
          <w:szCs w:val="14"/>
        </w:rPr>
        <w:t>iii</w:t>
      </w:r>
      <w:proofErr w:type="spellEnd"/>
      <w:r w:rsidRPr="00390A59">
        <w:rPr>
          <w:rFonts w:ascii="Geomanist" w:hAnsi="Geomanist"/>
          <w:sz w:val="14"/>
          <w:szCs w:val="14"/>
        </w:rPr>
        <w:t>) El Informe al Ejecutivo Federal y al Congreso de la Unión sobre la Situación Financiera y los Riesgos del IMSS</w:t>
      </w:r>
      <w:r>
        <w:rPr>
          <w:rFonts w:ascii="Geomanist" w:hAnsi="Geomanist"/>
          <w:sz w:val="14"/>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1E181" w14:textId="5458841F" w:rsidR="00A73D65" w:rsidRDefault="00197E4F">
    <w:pPr>
      <w:pStyle w:val="Encabezado"/>
    </w:pPr>
    <w:r>
      <w:rPr>
        <w:noProof/>
      </w:rPr>
      <w:drawing>
        <wp:anchor distT="0" distB="0" distL="114300" distR="114300" simplePos="0" relativeHeight="251662336" behindDoc="1" locked="0" layoutInCell="1" allowOverlap="1" wp14:anchorId="645701AE" wp14:editId="6BCB48AA">
          <wp:simplePos x="0" y="0"/>
          <wp:positionH relativeFrom="column">
            <wp:posOffset>3606165</wp:posOffset>
          </wp:positionH>
          <wp:positionV relativeFrom="page">
            <wp:posOffset>548640</wp:posOffset>
          </wp:positionV>
          <wp:extent cx="474339" cy="518160"/>
          <wp:effectExtent l="0" t="0" r="254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4339" cy="518160"/>
                  </a:xfrm>
                  <a:prstGeom prst="rect">
                    <a:avLst/>
                  </a:prstGeom>
                  <a:noFill/>
                </pic:spPr>
              </pic:pic>
            </a:graphicData>
          </a:graphic>
          <wp14:sizeRelH relativeFrom="margin">
            <wp14:pctWidth>0</wp14:pctWidth>
          </wp14:sizeRelH>
          <wp14:sizeRelV relativeFrom="margin">
            <wp14:pctHeight>0</wp14:pctHeight>
          </wp14:sizeRelV>
        </wp:anchor>
      </w:drawing>
    </w:r>
    <w:r w:rsidR="00FA1218">
      <w:rPr>
        <w:noProof/>
        <w:lang w:val="en-US"/>
      </w:rPr>
      <w:drawing>
        <wp:anchor distT="0" distB="0" distL="114300" distR="114300" simplePos="0" relativeHeight="251661312" behindDoc="1" locked="0" layoutInCell="1" allowOverlap="1" wp14:anchorId="45888DF5" wp14:editId="2D99CBC5">
          <wp:simplePos x="0" y="0"/>
          <wp:positionH relativeFrom="column">
            <wp:posOffset>-1062882</wp:posOffset>
          </wp:positionH>
          <wp:positionV relativeFrom="paragraph">
            <wp:posOffset>-432327</wp:posOffset>
          </wp:positionV>
          <wp:extent cx="7772680" cy="100584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2">
                    <a:extLst>
                      <a:ext uri="{28A0092B-C50C-407E-A947-70E740481C1C}">
                        <a14:useLocalDpi xmlns:a14="http://schemas.microsoft.com/office/drawing/2010/main" val="0"/>
                      </a:ext>
                    </a:extLst>
                  </a:blip>
                  <a:stretch>
                    <a:fillRect/>
                  </a:stretch>
                </pic:blipFill>
                <pic:spPr>
                  <a:xfrm>
                    <a:off x="0" y="0"/>
                    <a:ext cx="7772680" cy="1005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678EEE6"/>
    <w:lvl w:ilvl="0">
      <w:start w:val="1"/>
      <w:numFmt w:val="decimal"/>
      <w:pStyle w:val="Listaconnmeros2"/>
      <w:lvlText w:val="%1."/>
      <w:lvlJc w:val="left"/>
      <w:pPr>
        <w:tabs>
          <w:tab w:val="num" w:pos="643"/>
        </w:tabs>
        <w:ind w:left="643" w:hanging="360"/>
      </w:pPr>
    </w:lvl>
  </w:abstractNum>
  <w:abstractNum w:abstractNumId="1" w15:restartNumberingAfterBreak="0">
    <w:nsid w:val="FFFFFF89"/>
    <w:multiLevelType w:val="singleLevel"/>
    <w:tmpl w:val="36A0E3FE"/>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15D0330"/>
    <w:multiLevelType w:val="hybridMultilevel"/>
    <w:tmpl w:val="3BC21406"/>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2A3EC9"/>
    <w:multiLevelType w:val="hybridMultilevel"/>
    <w:tmpl w:val="FFFFFFFF"/>
    <w:lvl w:ilvl="0" w:tplc="2D18444C">
      <w:start w:val="1"/>
      <w:numFmt w:val="lowerLetter"/>
      <w:lvlText w:val="%1)"/>
      <w:lvlJc w:val="left"/>
      <w:pPr>
        <w:ind w:left="1260" w:hanging="360"/>
      </w:pPr>
      <w:rPr>
        <w:rFonts w:cs="Times New Roman"/>
        <w:b w:val="0"/>
      </w:rPr>
    </w:lvl>
    <w:lvl w:ilvl="1" w:tplc="080A0019">
      <w:start w:val="1"/>
      <w:numFmt w:val="lowerLetter"/>
      <w:lvlText w:val="%2."/>
      <w:lvlJc w:val="left"/>
      <w:pPr>
        <w:ind w:left="1980" w:hanging="360"/>
      </w:pPr>
      <w:rPr>
        <w:rFonts w:cs="Times New Roman"/>
      </w:rPr>
    </w:lvl>
    <w:lvl w:ilvl="2" w:tplc="080A001B">
      <w:start w:val="1"/>
      <w:numFmt w:val="lowerRoman"/>
      <w:lvlText w:val="%3."/>
      <w:lvlJc w:val="right"/>
      <w:pPr>
        <w:ind w:left="2700" w:hanging="180"/>
      </w:pPr>
      <w:rPr>
        <w:rFonts w:cs="Times New Roman"/>
      </w:rPr>
    </w:lvl>
    <w:lvl w:ilvl="3" w:tplc="080A000F">
      <w:start w:val="1"/>
      <w:numFmt w:val="decimal"/>
      <w:lvlText w:val="%4."/>
      <w:lvlJc w:val="left"/>
      <w:pPr>
        <w:ind w:left="3420" w:hanging="360"/>
      </w:pPr>
      <w:rPr>
        <w:rFonts w:cs="Times New Roman"/>
      </w:rPr>
    </w:lvl>
    <w:lvl w:ilvl="4" w:tplc="080A0019">
      <w:start w:val="1"/>
      <w:numFmt w:val="lowerLetter"/>
      <w:lvlText w:val="%5."/>
      <w:lvlJc w:val="left"/>
      <w:pPr>
        <w:ind w:left="4140" w:hanging="360"/>
      </w:pPr>
      <w:rPr>
        <w:rFonts w:cs="Times New Roman"/>
      </w:rPr>
    </w:lvl>
    <w:lvl w:ilvl="5" w:tplc="080A001B">
      <w:start w:val="1"/>
      <w:numFmt w:val="lowerRoman"/>
      <w:lvlText w:val="%6."/>
      <w:lvlJc w:val="right"/>
      <w:pPr>
        <w:ind w:left="4860" w:hanging="180"/>
      </w:pPr>
      <w:rPr>
        <w:rFonts w:cs="Times New Roman"/>
      </w:rPr>
    </w:lvl>
    <w:lvl w:ilvl="6" w:tplc="080A000F">
      <w:start w:val="1"/>
      <w:numFmt w:val="decimal"/>
      <w:lvlText w:val="%7."/>
      <w:lvlJc w:val="left"/>
      <w:pPr>
        <w:ind w:left="5580" w:hanging="360"/>
      </w:pPr>
      <w:rPr>
        <w:rFonts w:cs="Times New Roman"/>
      </w:rPr>
    </w:lvl>
    <w:lvl w:ilvl="7" w:tplc="080A0019">
      <w:start w:val="1"/>
      <w:numFmt w:val="lowerLetter"/>
      <w:lvlText w:val="%8."/>
      <w:lvlJc w:val="left"/>
      <w:pPr>
        <w:ind w:left="6300" w:hanging="360"/>
      </w:pPr>
      <w:rPr>
        <w:rFonts w:cs="Times New Roman"/>
      </w:rPr>
    </w:lvl>
    <w:lvl w:ilvl="8" w:tplc="080A001B">
      <w:start w:val="1"/>
      <w:numFmt w:val="lowerRoman"/>
      <w:lvlText w:val="%9."/>
      <w:lvlJc w:val="right"/>
      <w:pPr>
        <w:ind w:left="7020" w:hanging="180"/>
      </w:pPr>
      <w:rPr>
        <w:rFonts w:cs="Times New Roman"/>
      </w:rPr>
    </w:lvl>
  </w:abstractNum>
  <w:abstractNum w:abstractNumId="4" w15:restartNumberingAfterBreak="0">
    <w:nsid w:val="04067904"/>
    <w:multiLevelType w:val="multilevel"/>
    <w:tmpl w:val="080A001F"/>
    <w:styleLink w:val="Estilo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4736359"/>
    <w:multiLevelType w:val="hybridMultilevel"/>
    <w:tmpl w:val="A4AA8B24"/>
    <w:lvl w:ilvl="0" w:tplc="45C4F7B0">
      <w:start w:val="1"/>
      <w:numFmt w:val="upperLetter"/>
      <w:lvlText w:val="%1)"/>
      <w:lvlJc w:val="left"/>
      <w:pPr>
        <w:ind w:left="480" w:hanging="360"/>
      </w:pPr>
      <w:rPr>
        <w:rFonts w:hint="default"/>
        <w:b/>
        <w:bCs/>
        <w:color w:val="auto"/>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598597B"/>
    <w:multiLevelType w:val="multilevel"/>
    <w:tmpl w:val="080A0025"/>
    <w:styleLink w:val="Estilo5"/>
    <w:lvl w:ilvl="0">
      <w:start w:val="1"/>
      <w:numFmt w:val="upperRoman"/>
      <w:lvlText w:val="%1"/>
      <w:lvlJc w:val="left"/>
      <w:pPr>
        <w:ind w:left="432" w:hanging="432"/>
      </w:pPr>
      <w:rPr>
        <w:rFonts w:ascii="Montserrat" w:hAnsi="Montserrat"/>
        <w:color w:val="000000" w:themeColor="text1"/>
        <w:sz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1A80DAD"/>
    <w:multiLevelType w:val="multilevel"/>
    <w:tmpl w:val="080A001D"/>
    <w:styleLink w:val="Estilo3"/>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6A3B1B"/>
    <w:multiLevelType w:val="hybridMultilevel"/>
    <w:tmpl w:val="FFFFFFFF"/>
    <w:lvl w:ilvl="0" w:tplc="76089F56">
      <w:start w:val="1"/>
      <w:numFmt w:val="lowerLetter"/>
      <w:lvlText w:val="%1)"/>
      <w:lvlJc w:val="left"/>
      <w:pPr>
        <w:ind w:left="126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9" w15:restartNumberingAfterBreak="0">
    <w:nsid w:val="182E57BD"/>
    <w:multiLevelType w:val="hybridMultilevel"/>
    <w:tmpl w:val="4E988C04"/>
    <w:lvl w:ilvl="0" w:tplc="C4D84A82">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F3B636E"/>
    <w:multiLevelType w:val="hybridMultilevel"/>
    <w:tmpl w:val="7E7A86DE"/>
    <w:lvl w:ilvl="0" w:tplc="080A0001">
      <w:start w:val="1"/>
      <w:numFmt w:val="bullet"/>
      <w:lvlText w:val=""/>
      <w:lvlJc w:val="left"/>
      <w:pPr>
        <w:ind w:left="1570" w:hanging="360"/>
      </w:pPr>
      <w:rPr>
        <w:rFonts w:ascii="Symbol" w:hAnsi="Symbol" w:hint="default"/>
      </w:rPr>
    </w:lvl>
    <w:lvl w:ilvl="1" w:tplc="080A0003" w:tentative="1">
      <w:start w:val="1"/>
      <w:numFmt w:val="bullet"/>
      <w:lvlText w:val="o"/>
      <w:lvlJc w:val="left"/>
      <w:pPr>
        <w:ind w:left="2290" w:hanging="360"/>
      </w:pPr>
      <w:rPr>
        <w:rFonts w:ascii="Courier New" w:hAnsi="Courier New" w:cs="Courier New" w:hint="default"/>
      </w:rPr>
    </w:lvl>
    <w:lvl w:ilvl="2" w:tplc="080A0005" w:tentative="1">
      <w:start w:val="1"/>
      <w:numFmt w:val="bullet"/>
      <w:lvlText w:val=""/>
      <w:lvlJc w:val="left"/>
      <w:pPr>
        <w:ind w:left="3010" w:hanging="360"/>
      </w:pPr>
      <w:rPr>
        <w:rFonts w:ascii="Wingdings" w:hAnsi="Wingdings" w:hint="default"/>
      </w:rPr>
    </w:lvl>
    <w:lvl w:ilvl="3" w:tplc="080A0001" w:tentative="1">
      <w:start w:val="1"/>
      <w:numFmt w:val="bullet"/>
      <w:lvlText w:val=""/>
      <w:lvlJc w:val="left"/>
      <w:pPr>
        <w:ind w:left="3730" w:hanging="360"/>
      </w:pPr>
      <w:rPr>
        <w:rFonts w:ascii="Symbol" w:hAnsi="Symbol" w:hint="default"/>
      </w:rPr>
    </w:lvl>
    <w:lvl w:ilvl="4" w:tplc="080A0003" w:tentative="1">
      <w:start w:val="1"/>
      <w:numFmt w:val="bullet"/>
      <w:lvlText w:val="o"/>
      <w:lvlJc w:val="left"/>
      <w:pPr>
        <w:ind w:left="4450" w:hanging="360"/>
      </w:pPr>
      <w:rPr>
        <w:rFonts w:ascii="Courier New" w:hAnsi="Courier New" w:cs="Courier New" w:hint="default"/>
      </w:rPr>
    </w:lvl>
    <w:lvl w:ilvl="5" w:tplc="080A0005" w:tentative="1">
      <w:start w:val="1"/>
      <w:numFmt w:val="bullet"/>
      <w:lvlText w:val=""/>
      <w:lvlJc w:val="left"/>
      <w:pPr>
        <w:ind w:left="5170" w:hanging="360"/>
      </w:pPr>
      <w:rPr>
        <w:rFonts w:ascii="Wingdings" w:hAnsi="Wingdings" w:hint="default"/>
      </w:rPr>
    </w:lvl>
    <w:lvl w:ilvl="6" w:tplc="080A0001" w:tentative="1">
      <w:start w:val="1"/>
      <w:numFmt w:val="bullet"/>
      <w:lvlText w:val=""/>
      <w:lvlJc w:val="left"/>
      <w:pPr>
        <w:ind w:left="5890" w:hanging="360"/>
      </w:pPr>
      <w:rPr>
        <w:rFonts w:ascii="Symbol" w:hAnsi="Symbol" w:hint="default"/>
      </w:rPr>
    </w:lvl>
    <w:lvl w:ilvl="7" w:tplc="080A0003" w:tentative="1">
      <w:start w:val="1"/>
      <w:numFmt w:val="bullet"/>
      <w:lvlText w:val="o"/>
      <w:lvlJc w:val="left"/>
      <w:pPr>
        <w:ind w:left="6610" w:hanging="360"/>
      </w:pPr>
      <w:rPr>
        <w:rFonts w:ascii="Courier New" w:hAnsi="Courier New" w:cs="Courier New" w:hint="default"/>
      </w:rPr>
    </w:lvl>
    <w:lvl w:ilvl="8" w:tplc="080A0005" w:tentative="1">
      <w:start w:val="1"/>
      <w:numFmt w:val="bullet"/>
      <w:lvlText w:val=""/>
      <w:lvlJc w:val="left"/>
      <w:pPr>
        <w:ind w:left="7330" w:hanging="360"/>
      </w:pPr>
      <w:rPr>
        <w:rFonts w:ascii="Wingdings" w:hAnsi="Wingdings" w:hint="default"/>
      </w:rPr>
    </w:lvl>
  </w:abstractNum>
  <w:abstractNum w:abstractNumId="11" w15:restartNumberingAfterBreak="0">
    <w:nsid w:val="210C0102"/>
    <w:multiLevelType w:val="multilevel"/>
    <w:tmpl w:val="94062C46"/>
    <w:lvl w:ilvl="0">
      <w:start w:val="1"/>
      <w:numFmt w:val="upperRoman"/>
      <w:lvlText w:val="%1."/>
      <w:lvlJc w:val="left"/>
      <w:pPr>
        <w:ind w:left="360" w:hanging="360"/>
      </w:pPr>
      <w:rPr>
        <w:rFonts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15:restartNumberingAfterBreak="0">
    <w:nsid w:val="214D4469"/>
    <w:multiLevelType w:val="hybridMultilevel"/>
    <w:tmpl w:val="6442C82A"/>
    <w:lvl w:ilvl="0" w:tplc="73CCE25E">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2670AF8"/>
    <w:multiLevelType w:val="hybridMultilevel"/>
    <w:tmpl w:val="3FBC7F8C"/>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C73039"/>
    <w:multiLevelType w:val="hybridMultilevel"/>
    <w:tmpl w:val="D0500248"/>
    <w:lvl w:ilvl="0" w:tplc="080A0001">
      <w:start w:val="1"/>
      <w:numFmt w:val="bullet"/>
      <w:lvlText w:val=""/>
      <w:lvlJc w:val="left"/>
      <w:pPr>
        <w:ind w:left="1080" w:hanging="360"/>
      </w:pPr>
      <w:rPr>
        <w:rFonts w:ascii="Symbol" w:hAnsi="Symbol" w:hint="default"/>
        <w:b/>
      </w:rPr>
    </w:lvl>
    <w:lvl w:ilvl="1" w:tplc="080A0003" w:tentative="1">
      <w:start w:val="1"/>
      <w:numFmt w:val="bullet"/>
      <w:lvlText w:val="o"/>
      <w:lvlJc w:val="left"/>
      <w:pPr>
        <w:ind w:left="1800" w:hanging="360"/>
      </w:pPr>
      <w:rPr>
        <w:rFonts w:ascii="Courier New" w:hAnsi="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5" w15:restartNumberingAfterBreak="0">
    <w:nsid w:val="26C5181F"/>
    <w:multiLevelType w:val="hybridMultilevel"/>
    <w:tmpl w:val="3FBC7F8C"/>
    <w:lvl w:ilvl="0" w:tplc="C4D84A82">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93519DC"/>
    <w:multiLevelType w:val="hybridMultilevel"/>
    <w:tmpl w:val="62FA9F3E"/>
    <w:styleLink w:val="Estilo81"/>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7" w15:restartNumberingAfterBreak="0">
    <w:nsid w:val="296A7C43"/>
    <w:multiLevelType w:val="multilevel"/>
    <w:tmpl w:val="080A001F"/>
    <w:styleLink w:val="Estilo1"/>
    <w:lvl w:ilvl="0">
      <w:start w:val="1"/>
      <w:numFmt w:val="upperRoma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38119D"/>
    <w:multiLevelType w:val="multilevel"/>
    <w:tmpl w:val="080A001D"/>
    <w:styleLink w:val="Estilo31"/>
    <w:lvl w:ilvl="0">
      <w:start w:val="1"/>
      <w:numFmt w:val="upperRoman"/>
      <w:lvlText w:val="%1"/>
      <w:lvlJc w:val="left"/>
      <w:pPr>
        <w:ind w:left="360" w:hanging="360"/>
      </w:pPr>
      <w:rPr>
        <w:rFonts w:ascii="Arial" w:hAnsi="Arial" w:cs="Times New Roman" w:hint="default"/>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8E34A0"/>
    <w:multiLevelType w:val="hybridMultilevel"/>
    <w:tmpl w:val="3BC21406"/>
    <w:lvl w:ilvl="0" w:tplc="F00695FC">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4393A8C"/>
    <w:multiLevelType w:val="multilevel"/>
    <w:tmpl w:val="080A0025"/>
    <w:styleLink w:val="Estilo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A27389F"/>
    <w:multiLevelType w:val="hybridMultilevel"/>
    <w:tmpl w:val="359CEA58"/>
    <w:lvl w:ilvl="0" w:tplc="DDBAC07E">
      <w:start w:val="1"/>
      <w:numFmt w:val="upperLetter"/>
      <w:lvlText w:val="%1)"/>
      <w:lvlJc w:val="left"/>
      <w:pPr>
        <w:ind w:left="480" w:hanging="360"/>
      </w:pPr>
      <w:rPr>
        <w:rFonts w:hint="default"/>
        <w:b/>
        <w:bCs/>
        <w:color w:val="auto"/>
        <w:sz w:val="20"/>
        <w:szCs w:val="20"/>
      </w:rPr>
    </w:lvl>
    <w:lvl w:ilvl="1" w:tplc="080A0019" w:tentative="1">
      <w:start w:val="1"/>
      <w:numFmt w:val="lowerLetter"/>
      <w:lvlText w:val="%2."/>
      <w:lvlJc w:val="left"/>
      <w:pPr>
        <w:ind w:left="1200" w:hanging="360"/>
      </w:pPr>
    </w:lvl>
    <w:lvl w:ilvl="2" w:tplc="080A001B" w:tentative="1">
      <w:start w:val="1"/>
      <w:numFmt w:val="lowerRoman"/>
      <w:lvlText w:val="%3."/>
      <w:lvlJc w:val="right"/>
      <w:pPr>
        <w:ind w:left="1920" w:hanging="180"/>
      </w:pPr>
    </w:lvl>
    <w:lvl w:ilvl="3" w:tplc="080A000F" w:tentative="1">
      <w:start w:val="1"/>
      <w:numFmt w:val="decimal"/>
      <w:lvlText w:val="%4."/>
      <w:lvlJc w:val="left"/>
      <w:pPr>
        <w:ind w:left="2640" w:hanging="360"/>
      </w:pPr>
    </w:lvl>
    <w:lvl w:ilvl="4" w:tplc="080A0019" w:tentative="1">
      <w:start w:val="1"/>
      <w:numFmt w:val="lowerLetter"/>
      <w:lvlText w:val="%5."/>
      <w:lvlJc w:val="left"/>
      <w:pPr>
        <w:ind w:left="3360" w:hanging="360"/>
      </w:pPr>
    </w:lvl>
    <w:lvl w:ilvl="5" w:tplc="080A001B" w:tentative="1">
      <w:start w:val="1"/>
      <w:numFmt w:val="lowerRoman"/>
      <w:lvlText w:val="%6."/>
      <w:lvlJc w:val="right"/>
      <w:pPr>
        <w:ind w:left="4080" w:hanging="180"/>
      </w:pPr>
    </w:lvl>
    <w:lvl w:ilvl="6" w:tplc="080A000F" w:tentative="1">
      <w:start w:val="1"/>
      <w:numFmt w:val="decimal"/>
      <w:lvlText w:val="%7."/>
      <w:lvlJc w:val="left"/>
      <w:pPr>
        <w:ind w:left="4800" w:hanging="360"/>
      </w:pPr>
    </w:lvl>
    <w:lvl w:ilvl="7" w:tplc="080A0019" w:tentative="1">
      <w:start w:val="1"/>
      <w:numFmt w:val="lowerLetter"/>
      <w:lvlText w:val="%8."/>
      <w:lvlJc w:val="left"/>
      <w:pPr>
        <w:ind w:left="5520" w:hanging="360"/>
      </w:pPr>
    </w:lvl>
    <w:lvl w:ilvl="8" w:tplc="080A001B" w:tentative="1">
      <w:start w:val="1"/>
      <w:numFmt w:val="lowerRoman"/>
      <w:lvlText w:val="%9."/>
      <w:lvlJc w:val="right"/>
      <w:pPr>
        <w:ind w:left="6240" w:hanging="180"/>
      </w:pPr>
    </w:lvl>
  </w:abstractNum>
  <w:abstractNum w:abstractNumId="22" w15:restartNumberingAfterBreak="0">
    <w:nsid w:val="3FB12966"/>
    <w:multiLevelType w:val="multilevel"/>
    <w:tmpl w:val="080A001D"/>
    <w:styleLink w:val="Estilo4"/>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FF0165E"/>
    <w:multiLevelType w:val="multilevel"/>
    <w:tmpl w:val="080A001D"/>
    <w:styleLink w:val="Estilo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07C283C"/>
    <w:multiLevelType w:val="multilevel"/>
    <w:tmpl w:val="042A386A"/>
    <w:lvl w:ilvl="0">
      <w:start w:val="1"/>
      <w:numFmt w:val="upperRoman"/>
      <w:lvlText w:val="%1."/>
      <w:lvlJc w:val="left"/>
      <w:pPr>
        <w:ind w:left="432" w:hanging="432"/>
      </w:pPr>
      <w:rPr>
        <w:rFonts w:hint="default"/>
      </w:rPr>
    </w:lvl>
    <w:lvl w:ilvl="1">
      <w:start w:val="1"/>
      <w:numFmt w:val="decimal"/>
      <w:lvlText w:val="%1.%2"/>
      <w:lvlJc w:val="left"/>
      <w:pPr>
        <w:ind w:left="576" w:hanging="576"/>
      </w:pPr>
      <w:rPr>
        <w:b/>
        <w:bCs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rPr>
        <w:rFonts w:ascii="Montserrat" w:hAnsi="Montserrat" w:hint="default"/>
        <w:sz w:val="22"/>
        <w:szCs w:val="22"/>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3A0183C"/>
    <w:multiLevelType w:val="multilevel"/>
    <w:tmpl w:val="080A0025"/>
    <w:styleLink w:val="Estilo21"/>
    <w:lvl w:ilvl="0">
      <w:start w:val="1"/>
      <w:numFmt w:val="upperRoman"/>
      <w:lvlText w:val="%1"/>
      <w:lvlJc w:val="left"/>
      <w:pPr>
        <w:ind w:left="432" w:hanging="432"/>
      </w:pPr>
      <w:rPr>
        <w:rFonts w:ascii="Arial" w:hAnsi="Arial"/>
        <w:sz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4CE4A9D"/>
    <w:multiLevelType w:val="hybridMultilevel"/>
    <w:tmpl w:val="35BA7C8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4A600AA3"/>
    <w:multiLevelType w:val="multilevel"/>
    <w:tmpl w:val="7BCE29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C272683"/>
    <w:multiLevelType w:val="multilevel"/>
    <w:tmpl w:val="080A001D"/>
    <w:styleLink w:val="Estilo2"/>
    <w:lvl w:ilvl="0">
      <w:start w:val="1"/>
      <w:numFmt w:val="upperRoman"/>
      <w:lvlText w:val="%1)"/>
      <w:lvlJc w:val="left"/>
      <w:pPr>
        <w:ind w:left="360" w:hanging="360"/>
      </w:pPr>
      <w:rPr>
        <w:color w:val="000000" w:themeColor="text1"/>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DBA1FDD"/>
    <w:multiLevelType w:val="hybridMultilevel"/>
    <w:tmpl w:val="3FBC7F8C"/>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4E94810"/>
    <w:multiLevelType w:val="hybridMultilevel"/>
    <w:tmpl w:val="A36E2EC4"/>
    <w:lvl w:ilvl="0" w:tplc="C4D84A82">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63A35E4"/>
    <w:multiLevelType w:val="multilevel"/>
    <w:tmpl w:val="080A001D"/>
    <w:styleLink w:val="Estilo7"/>
    <w:lvl w:ilvl="0">
      <w:start w:val="1"/>
      <w:numFmt w:val="upperRoman"/>
      <w:lvlText w:val="%1)"/>
      <w:lvlJc w:val="left"/>
      <w:pPr>
        <w:ind w:left="360" w:hanging="360"/>
      </w:pPr>
      <w:rPr>
        <w:rFonts w:ascii="Montserrat Medium" w:hAnsi="Montserrat Medium"/>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926498D"/>
    <w:multiLevelType w:val="hybridMultilevel"/>
    <w:tmpl w:val="E5C8D9B0"/>
    <w:lvl w:ilvl="0" w:tplc="799A69EC">
      <w:start w:val="1"/>
      <w:numFmt w:val="decimal"/>
      <w:lvlText w:val="%1."/>
      <w:lvlJc w:val="left"/>
      <w:pPr>
        <w:ind w:left="1068" w:hanging="708"/>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5A2E6CC3"/>
    <w:multiLevelType w:val="hybridMultilevel"/>
    <w:tmpl w:val="A1D28B9C"/>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15:restartNumberingAfterBreak="0">
    <w:nsid w:val="5FF92191"/>
    <w:multiLevelType w:val="multilevel"/>
    <w:tmpl w:val="080A001F"/>
    <w:styleLink w:val="Estilo10"/>
    <w:lvl w:ilvl="0">
      <w:start w:val="1"/>
      <w:numFmt w:val="upperRoma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38B17B0"/>
    <w:multiLevelType w:val="hybridMultilevel"/>
    <w:tmpl w:val="A2B6B778"/>
    <w:lvl w:ilvl="0" w:tplc="534C1038">
      <w:numFmt w:val="bullet"/>
      <w:lvlText w:val="-"/>
      <w:lvlJc w:val="left"/>
      <w:pPr>
        <w:ind w:left="536" w:hanging="360"/>
      </w:pPr>
      <w:rPr>
        <w:rFonts w:ascii="Arial" w:eastAsia="SimSun" w:hAnsi="Arial" w:cs="Arial" w:hint="default"/>
      </w:rPr>
    </w:lvl>
    <w:lvl w:ilvl="1" w:tplc="080A0003" w:tentative="1">
      <w:start w:val="1"/>
      <w:numFmt w:val="bullet"/>
      <w:lvlText w:val="o"/>
      <w:lvlJc w:val="left"/>
      <w:pPr>
        <w:ind w:left="1256" w:hanging="360"/>
      </w:pPr>
      <w:rPr>
        <w:rFonts w:ascii="Courier New" w:hAnsi="Courier New" w:cs="Courier New" w:hint="default"/>
      </w:rPr>
    </w:lvl>
    <w:lvl w:ilvl="2" w:tplc="080A0005" w:tentative="1">
      <w:start w:val="1"/>
      <w:numFmt w:val="bullet"/>
      <w:lvlText w:val=""/>
      <w:lvlJc w:val="left"/>
      <w:pPr>
        <w:ind w:left="1976" w:hanging="360"/>
      </w:pPr>
      <w:rPr>
        <w:rFonts w:ascii="Wingdings" w:hAnsi="Wingdings" w:hint="default"/>
      </w:rPr>
    </w:lvl>
    <w:lvl w:ilvl="3" w:tplc="080A0001" w:tentative="1">
      <w:start w:val="1"/>
      <w:numFmt w:val="bullet"/>
      <w:lvlText w:val=""/>
      <w:lvlJc w:val="left"/>
      <w:pPr>
        <w:ind w:left="2696" w:hanging="360"/>
      </w:pPr>
      <w:rPr>
        <w:rFonts w:ascii="Symbol" w:hAnsi="Symbol" w:hint="default"/>
      </w:rPr>
    </w:lvl>
    <w:lvl w:ilvl="4" w:tplc="080A0003" w:tentative="1">
      <w:start w:val="1"/>
      <w:numFmt w:val="bullet"/>
      <w:lvlText w:val="o"/>
      <w:lvlJc w:val="left"/>
      <w:pPr>
        <w:ind w:left="3416" w:hanging="360"/>
      </w:pPr>
      <w:rPr>
        <w:rFonts w:ascii="Courier New" w:hAnsi="Courier New" w:cs="Courier New" w:hint="default"/>
      </w:rPr>
    </w:lvl>
    <w:lvl w:ilvl="5" w:tplc="080A0005" w:tentative="1">
      <w:start w:val="1"/>
      <w:numFmt w:val="bullet"/>
      <w:lvlText w:val=""/>
      <w:lvlJc w:val="left"/>
      <w:pPr>
        <w:ind w:left="4136" w:hanging="360"/>
      </w:pPr>
      <w:rPr>
        <w:rFonts w:ascii="Wingdings" w:hAnsi="Wingdings" w:hint="default"/>
      </w:rPr>
    </w:lvl>
    <w:lvl w:ilvl="6" w:tplc="080A0001" w:tentative="1">
      <w:start w:val="1"/>
      <w:numFmt w:val="bullet"/>
      <w:lvlText w:val=""/>
      <w:lvlJc w:val="left"/>
      <w:pPr>
        <w:ind w:left="4856" w:hanging="360"/>
      </w:pPr>
      <w:rPr>
        <w:rFonts w:ascii="Symbol" w:hAnsi="Symbol" w:hint="default"/>
      </w:rPr>
    </w:lvl>
    <w:lvl w:ilvl="7" w:tplc="080A0003" w:tentative="1">
      <w:start w:val="1"/>
      <w:numFmt w:val="bullet"/>
      <w:lvlText w:val="o"/>
      <w:lvlJc w:val="left"/>
      <w:pPr>
        <w:ind w:left="5576" w:hanging="360"/>
      </w:pPr>
      <w:rPr>
        <w:rFonts w:ascii="Courier New" w:hAnsi="Courier New" w:cs="Courier New" w:hint="default"/>
      </w:rPr>
    </w:lvl>
    <w:lvl w:ilvl="8" w:tplc="080A0005" w:tentative="1">
      <w:start w:val="1"/>
      <w:numFmt w:val="bullet"/>
      <w:lvlText w:val=""/>
      <w:lvlJc w:val="left"/>
      <w:pPr>
        <w:ind w:left="6296" w:hanging="360"/>
      </w:pPr>
      <w:rPr>
        <w:rFonts w:ascii="Wingdings" w:hAnsi="Wingdings" w:hint="default"/>
      </w:rPr>
    </w:lvl>
  </w:abstractNum>
  <w:abstractNum w:abstractNumId="36" w15:restartNumberingAfterBreak="0">
    <w:nsid w:val="64EB6423"/>
    <w:multiLevelType w:val="hybridMultilevel"/>
    <w:tmpl w:val="B6DA46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68BA70B4"/>
    <w:multiLevelType w:val="hybridMultilevel"/>
    <w:tmpl w:val="DEFAE18E"/>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15:restartNumberingAfterBreak="0">
    <w:nsid w:val="718B3DEC"/>
    <w:multiLevelType w:val="multilevel"/>
    <w:tmpl w:val="080A001F"/>
    <w:styleLink w:val="Estilo41"/>
    <w:lvl w:ilvl="0">
      <w:start w:val="1"/>
      <w:numFmt w:val="upperRoman"/>
      <w:lvlText w:val="%1."/>
      <w:lvlJc w:val="left"/>
      <w:pPr>
        <w:ind w:left="360" w:hanging="360"/>
      </w:pPr>
      <w:rPr>
        <w:rFonts w:ascii="Arial" w:hAnsi="Arial"/>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2CA764F"/>
    <w:multiLevelType w:val="hybridMultilevel"/>
    <w:tmpl w:val="1728D5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75494FFE"/>
    <w:multiLevelType w:val="hybridMultilevel"/>
    <w:tmpl w:val="3FBC7F8C"/>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62F4DCD"/>
    <w:multiLevelType w:val="multilevel"/>
    <w:tmpl w:val="080A0025"/>
    <w:styleLink w:val="Estilo51"/>
    <w:lvl w:ilvl="0">
      <w:start w:val="1"/>
      <w:numFmt w:val="upperRoman"/>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76E6382A"/>
    <w:multiLevelType w:val="hybridMultilevel"/>
    <w:tmpl w:val="C5667C5A"/>
    <w:lvl w:ilvl="0" w:tplc="C4D84A82">
      <w:start w:val="1"/>
      <w:numFmt w:val="lowerRoman"/>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15:restartNumberingAfterBreak="0">
    <w:nsid w:val="797F4504"/>
    <w:multiLevelType w:val="hybridMultilevel"/>
    <w:tmpl w:val="D5664CE4"/>
    <w:lvl w:ilvl="0" w:tplc="C9926D5A">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B7916F4"/>
    <w:multiLevelType w:val="hybridMultilevel"/>
    <w:tmpl w:val="9A261922"/>
    <w:lvl w:ilvl="0" w:tplc="70C47BA2">
      <w:start w:val="1"/>
      <w:numFmt w:val="lowerLetter"/>
      <w:lvlText w:val="%1."/>
      <w:lvlJc w:val="left"/>
      <w:pPr>
        <w:ind w:left="375" w:hanging="360"/>
      </w:pPr>
      <w:rPr>
        <w:rFonts w:hint="default"/>
        <w:b w:val="0"/>
      </w:rPr>
    </w:lvl>
    <w:lvl w:ilvl="1" w:tplc="080A0019" w:tentative="1">
      <w:start w:val="1"/>
      <w:numFmt w:val="lowerLetter"/>
      <w:lvlText w:val="%2."/>
      <w:lvlJc w:val="left"/>
      <w:pPr>
        <w:ind w:left="1095" w:hanging="360"/>
      </w:pPr>
    </w:lvl>
    <w:lvl w:ilvl="2" w:tplc="080A001B" w:tentative="1">
      <w:start w:val="1"/>
      <w:numFmt w:val="lowerRoman"/>
      <w:lvlText w:val="%3."/>
      <w:lvlJc w:val="right"/>
      <w:pPr>
        <w:ind w:left="1815" w:hanging="180"/>
      </w:pPr>
    </w:lvl>
    <w:lvl w:ilvl="3" w:tplc="080A000F" w:tentative="1">
      <w:start w:val="1"/>
      <w:numFmt w:val="decimal"/>
      <w:lvlText w:val="%4."/>
      <w:lvlJc w:val="left"/>
      <w:pPr>
        <w:ind w:left="2535" w:hanging="360"/>
      </w:pPr>
    </w:lvl>
    <w:lvl w:ilvl="4" w:tplc="080A0019" w:tentative="1">
      <w:start w:val="1"/>
      <w:numFmt w:val="lowerLetter"/>
      <w:lvlText w:val="%5."/>
      <w:lvlJc w:val="left"/>
      <w:pPr>
        <w:ind w:left="3255" w:hanging="360"/>
      </w:pPr>
    </w:lvl>
    <w:lvl w:ilvl="5" w:tplc="080A001B" w:tentative="1">
      <w:start w:val="1"/>
      <w:numFmt w:val="lowerRoman"/>
      <w:lvlText w:val="%6."/>
      <w:lvlJc w:val="right"/>
      <w:pPr>
        <w:ind w:left="3975" w:hanging="180"/>
      </w:pPr>
    </w:lvl>
    <w:lvl w:ilvl="6" w:tplc="080A000F" w:tentative="1">
      <w:start w:val="1"/>
      <w:numFmt w:val="decimal"/>
      <w:lvlText w:val="%7."/>
      <w:lvlJc w:val="left"/>
      <w:pPr>
        <w:ind w:left="4695" w:hanging="360"/>
      </w:pPr>
    </w:lvl>
    <w:lvl w:ilvl="7" w:tplc="080A0019" w:tentative="1">
      <w:start w:val="1"/>
      <w:numFmt w:val="lowerLetter"/>
      <w:lvlText w:val="%8."/>
      <w:lvlJc w:val="left"/>
      <w:pPr>
        <w:ind w:left="5415" w:hanging="360"/>
      </w:pPr>
    </w:lvl>
    <w:lvl w:ilvl="8" w:tplc="080A001B" w:tentative="1">
      <w:start w:val="1"/>
      <w:numFmt w:val="lowerRoman"/>
      <w:lvlText w:val="%9."/>
      <w:lvlJc w:val="right"/>
      <w:pPr>
        <w:ind w:left="6135" w:hanging="180"/>
      </w:pPr>
    </w:lvl>
  </w:abstractNum>
  <w:abstractNum w:abstractNumId="45" w15:restartNumberingAfterBreak="0">
    <w:nsid w:val="7BE6002A"/>
    <w:multiLevelType w:val="hybridMultilevel"/>
    <w:tmpl w:val="083E6EEC"/>
    <w:lvl w:ilvl="0" w:tplc="080A0017">
      <w:start w:val="1"/>
      <w:numFmt w:val="lowerLetter"/>
      <w:lvlText w:val="%1)"/>
      <w:lvlJc w:val="left"/>
      <w:pPr>
        <w:ind w:left="690" w:hanging="360"/>
      </w:pPr>
    </w:lvl>
    <w:lvl w:ilvl="1" w:tplc="080A0019" w:tentative="1">
      <w:start w:val="1"/>
      <w:numFmt w:val="lowerLetter"/>
      <w:lvlText w:val="%2."/>
      <w:lvlJc w:val="left"/>
      <w:pPr>
        <w:ind w:left="1410" w:hanging="360"/>
      </w:pPr>
    </w:lvl>
    <w:lvl w:ilvl="2" w:tplc="080A001B" w:tentative="1">
      <w:start w:val="1"/>
      <w:numFmt w:val="lowerRoman"/>
      <w:lvlText w:val="%3."/>
      <w:lvlJc w:val="right"/>
      <w:pPr>
        <w:ind w:left="2130" w:hanging="180"/>
      </w:pPr>
    </w:lvl>
    <w:lvl w:ilvl="3" w:tplc="080A000F" w:tentative="1">
      <w:start w:val="1"/>
      <w:numFmt w:val="decimal"/>
      <w:lvlText w:val="%4."/>
      <w:lvlJc w:val="left"/>
      <w:pPr>
        <w:ind w:left="2850" w:hanging="360"/>
      </w:pPr>
    </w:lvl>
    <w:lvl w:ilvl="4" w:tplc="080A0019" w:tentative="1">
      <w:start w:val="1"/>
      <w:numFmt w:val="lowerLetter"/>
      <w:lvlText w:val="%5."/>
      <w:lvlJc w:val="left"/>
      <w:pPr>
        <w:ind w:left="3570" w:hanging="360"/>
      </w:pPr>
    </w:lvl>
    <w:lvl w:ilvl="5" w:tplc="080A001B" w:tentative="1">
      <w:start w:val="1"/>
      <w:numFmt w:val="lowerRoman"/>
      <w:lvlText w:val="%6."/>
      <w:lvlJc w:val="right"/>
      <w:pPr>
        <w:ind w:left="4290" w:hanging="180"/>
      </w:pPr>
    </w:lvl>
    <w:lvl w:ilvl="6" w:tplc="080A000F" w:tentative="1">
      <w:start w:val="1"/>
      <w:numFmt w:val="decimal"/>
      <w:lvlText w:val="%7."/>
      <w:lvlJc w:val="left"/>
      <w:pPr>
        <w:ind w:left="5010" w:hanging="360"/>
      </w:pPr>
    </w:lvl>
    <w:lvl w:ilvl="7" w:tplc="080A0019" w:tentative="1">
      <w:start w:val="1"/>
      <w:numFmt w:val="lowerLetter"/>
      <w:lvlText w:val="%8."/>
      <w:lvlJc w:val="left"/>
      <w:pPr>
        <w:ind w:left="5730" w:hanging="360"/>
      </w:pPr>
    </w:lvl>
    <w:lvl w:ilvl="8" w:tplc="080A001B" w:tentative="1">
      <w:start w:val="1"/>
      <w:numFmt w:val="lowerRoman"/>
      <w:lvlText w:val="%9."/>
      <w:lvlJc w:val="right"/>
      <w:pPr>
        <w:ind w:left="6450" w:hanging="180"/>
      </w:pPr>
    </w:lvl>
  </w:abstractNum>
  <w:abstractNum w:abstractNumId="46" w15:restartNumberingAfterBreak="0">
    <w:nsid w:val="7CC2716B"/>
    <w:multiLevelType w:val="multilevel"/>
    <w:tmpl w:val="BA4A2D8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9351B9"/>
    <w:multiLevelType w:val="multilevel"/>
    <w:tmpl w:val="080A0025"/>
    <w:styleLink w:val="Estilo6"/>
    <w:lvl w:ilvl="0">
      <w:start w:val="1"/>
      <w:numFmt w:val="upperRoman"/>
      <w:lvlText w:val="%1"/>
      <w:lvlJc w:val="left"/>
      <w:pPr>
        <w:ind w:left="432" w:hanging="432"/>
      </w:pPr>
      <w:rPr>
        <w:rFonts w:ascii="Tahoma" w:hAnsi="Tahoma" w:cs="Times New Roman" w:hint="default"/>
        <w:b/>
        <w:color w:val="000000" w:themeColor="text1"/>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858737353">
    <w:abstractNumId w:val="1"/>
  </w:num>
  <w:num w:numId="2" w16cid:durableId="769009335">
    <w:abstractNumId w:val="0"/>
    <w:lvlOverride w:ilvl="0">
      <w:startOverride w:val="1"/>
    </w:lvlOverride>
  </w:num>
  <w:num w:numId="3" w16cid:durableId="83262584">
    <w:abstractNumId w:val="16"/>
  </w:num>
  <w:num w:numId="4" w16cid:durableId="1477643798">
    <w:abstractNumId w:val="4"/>
  </w:num>
  <w:num w:numId="5" w16cid:durableId="230114551">
    <w:abstractNumId w:val="6"/>
  </w:num>
  <w:num w:numId="6" w16cid:durableId="200440863">
    <w:abstractNumId w:val="7"/>
  </w:num>
  <w:num w:numId="7" w16cid:durableId="43801483">
    <w:abstractNumId w:val="17"/>
  </w:num>
  <w:num w:numId="8" w16cid:durableId="1070881193">
    <w:abstractNumId w:val="18"/>
  </w:num>
  <w:num w:numId="9" w16cid:durableId="2082287804">
    <w:abstractNumId w:val="20"/>
  </w:num>
  <w:num w:numId="10" w16cid:durableId="1499728006">
    <w:abstractNumId w:val="22"/>
  </w:num>
  <w:num w:numId="11" w16cid:durableId="589509728">
    <w:abstractNumId w:val="25"/>
  </w:num>
  <w:num w:numId="12" w16cid:durableId="45298975">
    <w:abstractNumId w:val="28"/>
  </w:num>
  <w:num w:numId="13" w16cid:durableId="295724264">
    <w:abstractNumId w:val="31"/>
  </w:num>
  <w:num w:numId="14" w16cid:durableId="1912500398">
    <w:abstractNumId w:val="38"/>
  </w:num>
  <w:num w:numId="15" w16cid:durableId="406651775">
    <w:abstractNumId w:val="41"/>
  </w:num>
  <w:num w:numId="16" w16cid:durableId="1354503285">
    <w:abstractNumId w:val="47"/>
  </w:num>
  <w:num w:numId="17" w16cid:durableId="1548761333">
    <w:abstractNumId w:val="23"/>
  </w:num>
  <w:num w:numId="18" w16cid:durableId="2117555597">
    <w:abstractNumId w:val="34"/>
  </w:num>
  <w:num w:numId="19" w16cid:durableId="1539708494">
    <w:abstractNumId w:val="35"/>
  </w:num>
  <w:num w:numId="20" w16cid:durableId="104349970">
    <w:abstractNumId w:val="3"/>
  </w:num>
  <w:num w:numId="21" w16cid:durableId="465197664">
    <w:abstractNumId w:val="8"/>
  </w:num>
  <w:num w:numId="22" w16cid:durableId="1534342539">
    <w:abstractNumId w:val="45"/>
  </w:num>
  <w:num w:numId="23" w16cid:durableId="722338283">
    <w:abstractNumId w:val="26"/>
  </w:num>
  <w:num w:numId="24" w16cid:durableId="1390299405">
    <w:abstractNumId w:val="10"/>
  </w:num>
  <w:num w:numId="25" w16cid:durableId="1526597631">
    <w:abstractNumId w:val="32"/>
  </w:num>
  <w:num w:numId="26" w16cid:durableId="2026589657">
    <w:abstractNumId w:val="30"/>
  </w:num>
  <w:num w:numId="27" w16cid:durableId="677805399">
    <w:abstractNumId w:val="15"/>
  </w:num>
  <w:num w:numId="28" w16cid:durableId="2117868734">
    <w:abstractNumId w:val="9"/>
  </w:num>
  <w:num w:numId="29" w16cid:durableId="131481477">
    <w:abstractNumId w:val="42"/>
  </w:num>
  <w:num w:numId="30" w16cid:durableId="670257698">
    <w:abstractNumId w:val="33"/>
  </w:num>
  <w:num w:numId="31" w16cid:durableId="364598176">
    <w:abstractNumId w:val="37"/>
  </w:num>
  <w:num w:numId="32" w16cid:durableId="2006786442">
    <w:abstractNumId w:val="11"/>
  </w:num>
  <w:num w:numId="33" w16cid:durableId="454521768">
    <w:abstractNumId w:val="29"/>
  </w:num>
  <w:num w:numId="34" w16cid:durableId="1048340326">
    <w:abstractNumId w:val="43"/>
  </w:num>
  <w:num w:numId="35" w16cid:durableId="2044137362">
    <w:abstractNumId w:val="13"/>
  </w:num>
  <w:num w:numId="36" w16cid:durableId="2024475817">
    <w:abstractNumId w:val="40"/>
  </w:num>
  <w:num w:numId="37" w16cid:durableId="1834905744">
    <w:abstractNumId w:val="12"/>
  </w:num>
  <w:num w:numId="38" w16cid:durableId="99184134">
    <w:abstractNumId w:val="19"/>
  </w:num>
  <w:num w:numId="39" w16cid:durableId="1999527561">
    <w:abstractNumId w:val="2"/>
  </w:num>
  <w:num w:numId="40" w16cid:durableId="262998158">
    <w:abstractNumId w:val="14"/>
  </w:num>
  <w:num w:numId="41" w16cid:durableId="1470131552">
    <w:abstractNumId w:val="27"/>
  </w:num>
  <w:num w:numId="42" w16cid:durableId="728573680">
    <w:abstractNumId w:val="21"/>
  </w:num>
  <w:num w:numId="43" w16cid:durableId="613050912">
    <w:abstractNumId w:val="5"/>
  </w:num>
  <w:num w:numId="44" w16cid:durableId="1996642193">
    <w:abstractNumId w:val="36"/>
  </w:num>
  <w:num w:numId="45" w16cid:durableId="1968312526">
    <w:abstractNumId w:val="46"/>
  </w:num>
  <w:num w:numId="46" w16cid:durableId="20064674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902982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60081190">
    <w:abstractNumId w:val="24"/>
  </w:num>
  <w:num w:numId="49" w16cid:durableId="121770930">
    <w:abstractNumId w:val="44"/>
  </w:num>
  <w:num w:numId="50" w16cid:durableId="214423379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mirrorMargin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7681"/>
    <w:rsid w:val="000B04F1"/>
    <w:rsid w:val="000C68A5"/>
    <w:rsid w:val="000D799D"/>
    <w:rsid w:val="00134C5F"/>
    <w:rsid w:val="00143EEA"/>
    <w:rsid w:val="00156A3E"/>
    <w:rsid w:val="00161740"/>
    <w:rsid w:val="0016179D"/>
    <w:rsid w:val="001718E6"/>
    <w:rsid w:val="0017615F"/>
    <w:rsid w:val="00180A38"/>
    <w:rsid w:val="00184325"/>
    <w:rsid w:val="00197E4F"/>
    <w:rsid w:val="001A5D93"/>
    <w:rsid w:val="001D3D20"/>
    <w:rsid w:val="00256B1D"/>
    <w:rsid w:val="00294FAC"/>
    <w:rsid w:val="0029542D"/>
    <w:rsid w:val="002A62E0"/>
    <w:rsid w:val="002D6757"/>
    <w:rsid w:val="002E2142"/>
    <w:rsid w:val="0030244B"/>
    <w:rsid w:val="0030476A"/>
    <w:rsid w:val="003302D7"/>
    <w:rsid w:val="00330DC8"/>
    <w:rsid w:val="00343B46"/>
    <w:rsid w:val="0034684B"/>
    <w:rsid w:val="00363222"/>
    <w:rsid w:val="00370465"/>
    <w:rsid w:val="00376F75"/>
    <w:rsid w:val="00380136"/>
    <w:rsid w:val="00390A59"/>
    <w:rsid w:val="003D416E"/>
    <w:rsid w:val="003E1335"/>
    <w:rsid w:val="003F496D"/>
    <w:rsid w:val="00477F45"/>
    <w:rsid w:val="004867A3"/>
    <w:rsid w:val="004A15D2"/>
    <w:rsid w:val="004A4C4E"/>
    <w:rsid w:val="004C7529"/>
    <w:rsid w:val="004D146C"/>
    <w:rsid w:val="004D2498"/>
    <w:rsid w:val="004E7DF1"/>
    <w:rsid w:val="00512547"/>
    <w:rsid w:val="00524253"/>
    <w:rsid w:val="00524998"/>
    <w:rsid w:val="00543E72"/>
    <w:rsid w:val="0055784E"/>
    <w:rsid w:val="005C1A7C"/>
    <w:rsid w:val="005F30F6"/>
    <w:rsid w:val="00626EE3"/>
    <w:rsid w:val="00631824"/>
    <w:rsid w:val="006322C1"/>
    <w:rsid w:val="006C0425"/>
    <w:rsid w:val="006C3B4E"/>
    <w:rsid w:val="006E09A1"/>
    <w:rsid w:val="0072747D"/>
    <w:rsid w:val="007421E3"/>
    <w:rsid w:val="00747309"/>
    <w:rsid w:val="0078195E"/>
    <w:rsid w:val="007B74AD"/>
    <w:rsid w:val="007D5CCD"/>
    <w:rsid w:val="007D77D1"/>
    <w:rsid w:val="007E5888"/>
    <w:rsid w:val="00831EE7"/>
    <w:rsid w:val="00834146"/>
    <w:rsid w:val="00845B04"/>
    <w:rsid w:val="008F6EFE"/>
    <w:rsid w:val="0090412A"/>
    <w:rsid w:val="009066A7"/>
    <w:rsid w:val="009068C0"/>
    <w:rsid w:val="00907F1C"/>
    <w:rsid w:val="00932C27"/>
    <w:rsid w:val="009372D9"/>
    <w:rsid w:val="00937A9D"/>
    <w:rsid w:val="00937C98"/>
    <w:rsid w:val="00942415"/>
    <w:rsid w:val="00993FEF"/>
    <w:rsid w:val="009C12D6"/>
    <w:rsid w:val="009D595F"/>
    <w:rsid w:val="009F2BA1"/>
    <w:rsid w:val="00A002A3"/>
    <w:rsid w:val="00A07674"/>
    <w:rsid w:val="00A301D7"/>
    <w:rsid w:val="00A47C31"/>
    <w:rsid w:val="00A504B8"/>
    <w:rsid w:val="00A55375"/>
    <w:rsid w:val="00A57775"/>
    <w:rsid w:val="00A73D65"/>
    <w:rsid w:val="00A96A91"/>
    <w:rsid w:val="00AF6D54"/>
    <w:rsid w:val="00B60FF9"/>
    <w:rsid w:val="00B72D65"/>
    <w:rsid w:val="00B87C85"/>
    <w:rsid w:val="00BB21A6"/>
    <w:rsid w:val="00BB2DFF"/>
    <w:rsid w:val="00BC43BD"/>
    <w:rsid w:val="00BE07EA"/>
    <w:rsid w:val="00BE1530"/>
    <w:rsid w:val="00C02E98"/>
    <w:rsid w:val="00C23B9E"/>
    <w:rsid w:val="00C25EF6"/>
    <w:rsid w:val="00C279A3"/>
    <w:rsid w:val="00C30849"/>
    <w:rsid w:val="00C465FE"/>
    <w:rsid w:val="00C67047"/>
    <w:rsid w:val="00C90CED"/>
    <w:rsid w:val="00CB7D4F"/>
    <w:rsid w:val="00CC4580"/>
    <w:rsid w:val="00CC5454"/>
    <w:rsid w:val="00CE3E99"/>
    <w:rsid w:val="00D1354D"/>
    <w:rsid w:val="00D84E05"/>
    <w:rsid w:val="00DA1B19"/>
    <w:rsid w:val="00DB53A4"/>
    <w:rsid w:val="00DC7EB5"/>
    <w:rsid w:val="00E138D7"/>
    <w:rsid w:val="00E155A4"/>
    <w:rsid w:val="00E80014"/>
    <w:rsid w:val="00E93867"/>
    <w:rsid w:val="00EB407F"/>
    <w:rsid w:val="00EE053F"/>
    <w:rsid w:val="00F03D19"/>
    <w:rsid w:val="00F1219F"/>
    <w:rsid w:val="00F24915"/>
    <w:rsid w:val="00F302E4"/>
    <w:rsid w:val="00F401F9"/>
    <w:rsid w:val="00F745B2"/>
    <w:rsid w:val="00F80FB0"/>
    <w:rsid w:val="00F945F2"/>
    <w:rsid w:val="00F94942"/>
    <w:rsid w:val="00F96E04"/>
    <w:rsid w:val="00FA1218"/>
    <w:rsid w:val="00FD5520"/>
    <w:rsid w:val="00FD754F"/>
    <w:rsid w:val="00FD75E1"/>
    <w:rsid w:val="00FF06F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B1EA0C"/>
  <w15:docId w15:val="{184DA35C-AEBC-432C-8145-57322A157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s-ES"/>
    </w:rPr>
  </w:style>
  <w:style w:type="paragraph" w:styleId="Ttulo1">
    <w:name w:val="heading 1"/>
    <w:basedOn w:val="Normal"/>
    <w:next w:val="Normal"/>
    <w:link w:val="Ttulo1Car"/>
    <w:uiPriority w:val="9"/>
    <w:qFormat/>
    <w:rsid w:val="00A002A3"/>
    <w:pPr>
      <w:keepNext/>
      <w:keepLines/>
      <w:spacing w:before="240"/>
      <w:outlineLvl w:val="0"/>
    </w:pPr>
    <w:rPr>
      <w:rFonts w:asciiTheme="majorHAnsi" w:eastAsiaTheme="majorEastAsia" w:hAnsiTheme="majorHAnsi" w:cstheme="majorBidi"/>
      <w:color w:val="2F5496" w:themeColor="accent1" w:themeShade="BF"/>
      <w:sz w:val="32"/>
      <w:szCs w:val="32"/>
      <w:lang w:val="es-ES_tradnl" w:eastAsia="es-MX"/>
    </w:rPr>
  </w:style>
  <w:style w:type="paragraph" w:styleId="Ttulo2">
    <w:name w:val="heading 2"/>
    <w:basedOn w:val="Normal"/>
    <w:next w:val="Normal"/>
    <w:link w:val="Ttulo2Car"/>
    <w:uiPriority w:val="9"/>
    <w:unhideWhenUsed/>
    <w:qFormat/>
    <w:rsid w:val="00A002A3"/>
    <w:pPr>
      <w:keepNext/>
      <w:keepLines/>
      <w:spacing w:before="200"/>
      <w:outlineLvl w:val="1"/>
    </w:pPr>
    <w:rPr>
      <w:rFonts w:asciiTheme="majorHAnsi" w:eastAsiaTheme="majorEastAsia" w:hAnsiTheme="majorHAnsi" w:cstheme="majorBidi"/>
      <w:b/>
      <w:bCs/>
      <w:color w:val="4472C4" w:themeColor="accent1"/>
      <w:sz w:val="26"/>
      <w:szCs w:val="26"/>
      <w:lang w:val="es-ES_tradnl" w:eastAsia="es-MX"/>
    </w:rPr>
  </w:style>
  <w:style w:type="paragraph" w:styleId="Ttulo3">
    <w:name w:val="heading 3"/>
    <w:basedOn w:val="Normal"/>
    <w:next w:val="Normal"/>
    <w:link w:val="Ttulo3Car"/>
    <w:uiPriority w:val="9"/>
    <w:unhideWhenUsed/>
    <w:qFormat/>
    <w:rsid w:val="00A002A3"/>
    <w:pPr>
      <w:keepNext/>
      <w:keepLines/>
      <w:spacing w:before="200"/>
      <w:outlineLvl w:val="2"/>
    </w:pPr>
    <w:rPr>
      <w:rFonts w:asciiTheme="majorHAnsi" w:eastAsiaTheme="majorEastAsia" w:hAnsiTheme="majorHAnsi" w:cstheme="majorBidi"/>
      <w:b/>
      <w:bCs/>
      <w:color w:val="4472C4" w:themeColor="accent1"/>
      <w:lang w:val="es-ES_tradnl" w:eastAsia="es-MX"/>
    </w:rPr>
  </w:style>
  <w:style w:type="paragraph" w:styleId="Ttulo4">
    <w:name w:val="heading 4"/>
    <w:basedOn w:val="Normal"/>
    <w:next w:val="Normal"/>
    <w:link w:val="Ttulo4Car"/>
    <w:uiPriority w:val="9"/>
    <w:unhideWhenUsed/>
    <w:qFormat/>
    <w:rsid w:val="00A002A3"/>
    <w:pPr>
      <w:keepNext/>
      <w:keepLines/>
      <w:spacing w:before="200"/>
      <w:outlineLvl w:val="3"/>
    </w:pPr>
    <w:rPr>
      <w:rFonts w:asciiTheme="majorHAnsi" w:eastAsiaTheme="majorEastAsia" w:hAnsiTheme="majorHAnsi" w:cstheme="majorBidi"/>
      <w:b/>
      <w:bCs/>
      <w:i/>
      <w:iCs/>
      <w:color w:val="4472C4" w:themeColor="accent1"/>
      <w:lang w:val="es-ES_tradnl" w:eastAsia="es-MX"/>
    </w:rPr>
  </w:style>
  <w:style w:type="paragraph" w:styleId="Ttulo5">
    <w:name w:val="heading 5"/>
    <w:basedOn w:val="Normal"/>
    <w:next w:val="Normal"/>
    <w:link w:val="Ttulo5Car"/>
    <w:uiPriority w:val="9"/>
    <w:unhideWhenUsed/>
    <w:qFormat/>
    <w:rsid w:val="00A002A3"/>
    <w:pPr>
      <w:keepNext/>
      <w:keepLines/>
      <w:spacing w:before="200"/>
      <w:outlineLvl w:val="4"/>
    </w:pPr>
    <w:rPr>
      <w:rFonts w:asciiTheme="majorHAnsi" w:eastAsiaTheme="majorEastAsia" w:hAnsiTheme="majorHAnsi" w:cstheme="majorBidi"/>
      <w:color w:val="1F3763" w:themeColor="accent1" w:themeShade="7F"/>
      <w:lang w:val="es-ES_tradnl" w:eastAsia="es-MX"/>
    </w:rPr>
  </w:style>
  <w:style w:type="paragraph" w:styleId="Ttulo6">
    <w:name w:val="heading 6"/>
    <w:basedOn w:val="Normal"/>
    <w:next w:val="Normal"/>
    <w:link w:val="Ttulo6Car"/>
    <w:uiPriority w:val="9"/>
    <w:semiHidden/>
    <w:unhideWhenUsed/>
    <w:qFormat/>
    <w:rsid w:val="00A002A3"/>
    <w:pPr>
      <w:keepNext/>
      <w:keepLines/>
      <w:spacing w:before="200"/>
      <w:jc w:val="both"/>
      <w:outlineLvl w:val="5"/>
    </w:pPr>
    <w:rPr>
      <w:rFonts w:asciiTheme="majorHAnsi" w:eastAsiaTheme="majorEastAsia" w:hAnsiTheme="majorHAnsi" w:cstheme="majorBidi"/>
      <w:i/>
      <w:iCs/>
      <w:color w:val="1F3763" w:themeColor="accent1" w:themeShade="7F"/>
      <w:lang w:val="es-ES_tradnl" w:eastAsia="es-MX"/>
    </w:rPr>
  </w:style>
  <w:style w:type="paragraph" w:styleId="Ttulo7">
    <w:name w:val="heading 7"/>
    <w:basedOn w:val="Normal"/>
    <w:next w:val="Normal"/>
    <w:link w:val="Ttulo7Car"/>
    <w:uiPriority w:val="9"/>
    <w:semiHidden/>
    <w:unhideWhenUsed/>
    <w:qFormat/>
    <w:rsid w:val="00A002A3"/>
    <w:pPr>
      <w:keepNext/>
      <w:keepLines/>
      <w:spacing w:before="200"/>
      <w:jc w:val="both"/>
      <w:outlineLvl w:val="6"/>
    </w:pPr>
    <w:rPr>
      <w:rFonts w:asciiTheme="majorHAnsi" w:eastAsiaTheme="majorEastAsia" w:hAnsiTheme="majorHAnsi" w:cstheme="majorBidi"/>
      <w:i/>
      <w:iCs/>
      <w:color w:val="404040" w:themeColor="text1" w:themeTint="BF"/>
      <w:lang w:val="es-ES_tradnl" w:eastAsia="es-MX"/>
    </w:rPr>
  </w:style>
  <w:style w:type="paragraph" w:styleId="Ttulo8">
    <w:name w:val="heading 8"/>
    <w:basedOn w:val="Normal"/>
    <w:next w:val="Normal"/>
    <w:link w:val="Ttulo8Car"/>
    <w:uiPriority w:val="9"/>
    <w:semiHidden/>
    <w:unhideWhenUsed/>
    <w:qFormat/>
    <w:rsid w:val="00A002A3"/>
    <w:pPr>
      <w:keepNext/>
      <w:keepLines/>
      <w:spacing w:before="200"/>
      <w:jc w:val="both"/>
      <w:outlineLvl w:val="7"/>
    </w:pPr>
    <w:rPr>
      <w:rFonts w:asciiTheme="majorHAnsi" w:eastAsiaTheme="majorEastAsia" w:hAnsiTheme="majorHAnsi" w:cstheme="majorBidi"/>
      <w:color w:val="404040" w:themeColor="text1" w:themeTint="BF"/>
      <w:sz w:val="20"/>
      <w:szCs w:val="20"/>
      <w:lang w:val="es-ES_tradnl" w:eastAsia="es-MX"/>
    </w:rPr>
  </w:style>
  <w:style w:type="paragraph" w:styleId="Ttulo9">
    <w:name w:val="heading 9"/>
    <w:basedOn w:val="Normal"/>
    <w:next w:val="Normal"/>
    <w:link w:val="Ttulo9Car"/>
    <w:uiPriority w:val="9"/>
    <w:semiHidden/>
    <w:unhideWhenUsed/>
    <w:qFormat/>
    <w:rsid w:val="00A002A3"/>
    <w:pPr>
      <w:keepNext/>
      <w:keepLines/>
      <w:spacing w:before="200"/>
      <w:jc w:val="both"/>
      <w:outlineLvl w:val="8"/>
    </w:pPr>
    <w:rPr>
      <w:rFonts w:asciiTheme="majorHAnsi" w:eastAsiaTheme="majorEastAsia" w:hAnsiTheme="majorHAnsi" w:cstheme="majorBidi"/>
      <w:i/>
      <w:iCs/>
      <w:color w:val="404040" w:themeColor="text1" w:themeTint="BF"/>
      <w:sz w:val="20"/>
      <w:szCs w:val="20"/>
      <w:lang w:val="es-ES_tradnl"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basedOn w:val="Fuentedeprrafopredeter"/>
    <w:link w:val="Encabezado"/>
    <w:uiPriority w:val="99"/>
    <w:rsid w:val="00A73D65"/>
    <w:rPr>
      <w:rFonts w:eastAsiaTheme="minorEastAsia"/>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basedOn w:val="Fuentedeprrafopredeter"/>
    <w:link w:val="Piedepgina"/>
    <w:uiPriority w:val="99"/>
    <w:rsid w:val="00A73D65"/>
    <w:rPr>
      <w:rFonts w:eastAsiaTheme="minorEastAsia"/>
      <w:lang w:val="es-ES"/>
    </w:rPr>
  </w:style>
  <w:style w:type="paragraph" w:styleId="Textodeglobo">
    <w:name w:val="Balloon Text"/>
    <w:basedOn w:val="Normal"/>
    <w:link w:val="TextodegloboCar"/>
    <w:uiPriority w:val="99"/>
    <w:semiHidden/>
    <w:unhideWhenUsed/>
    <w:rsid w:val="00DA1B19"/>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A1B19"/>
    <w:rPr>
      <w:rFonts w:ascii="Times New Roman" w:eastAsiaTheme="minorEastAsia" w:hAnsi="Times New Roman" w:cs="Times New Roman"/>
      <w:sz w:val="18"/>
      <w:szCs w:val="18"/>
      <w:lang w:val="es-ES"/>
    </w:rPr>
  </w:style>
  <w:style w:type="character" w:customStyle="1" w:styleId="Ttulo1Car">
    <w:name w:val="Título 1 Car"/>
    <w:basedOn w:val="Fuentedeprrafopredeter"/>
    <w:link w:val="Ttulo1"/>
    <w:uiPriority w:val="9"/>
    <w:rsid w:val="00A002A3"/>
    <w:rPr>
      <w:rFonts w:asciiTheme="majorHAnsi" w:eastAsiaTheme="majorEastAsia" w:hAnsiTheme="majorHAnsi" w:cstheme="majorBidi"/>
      <w:color w:val="2F5496" w:themeColor="accent1" w:themeShade="BF"/>
      <w:sz w:val="32"/>
      <w:szCs w:val="32"/>
      <w:lang w:val="es-ES_tradnl" w:eastAsia="es-MX"/>
    </w:rPr>
  </w:style>
  <w:style w:type="character" w:customStyle="1" w:styleId="Ttulo2Car">
    <w:name w:val="Título 2 Car"/>
    <w:basedOn w:val="Fuentedeprrafopredeter"/>
    <w:link w:val="Ttulo2"/>
    <w:uiPriority w:val="9"/>
    <w:rsid w:val="00A002A3"/>
    <w:rPr>
      <w:rFonts w:asciiTheme="majorHAnsi" w:eastAsiaTheme="majorEastAsia" w:hAnsiTheme="majorHAnsi" w:cstheme="majorBidi"/>
      <w:b/>
      <w:bCs/>
      <w:color w:val="4472C4" w:themeColor="accent1"/>
      <w:sz w:val="26"/>
      <w:szCs w:val="26"/>
      <w:lang w:val="es-ES_tradnl" w:eastAsia="es-MX"/>
    </w:rPr>
  </w:style>
  <w:style w:type="character" w:customStyle="1" w:styleId="Ttulo3Car">
    <w:name w:val="Título 3 Car"/>
    <w:basedOn w:val="Fuentedeprrafopredeter"/>
    <w:link w:val="Ttulo3"/>
    <w:uiPriority w:val="9"/>
    <w:rsid w:val="00A002A3"/>
    <w:rPr>
      <w:rFonts w:asciiTheme="majorHAnsi" w:eastAsiaTheme="majorEastAsia" w:hAnsiTheme="majorHAnsi" w:cstheme="majorBidi"/>
      <w:b/>
      <w:bCs/>
      <w:color w:val="4472C4" w:themeColor="accent1"/>
      <w:lang w:val="es-ES_tradnl" w:eastAsia="es-MX"/>
    </w:rPr>
  </w:style>
  <w:style w:type="character" w:customStyle="1" w:styleId="Ttulo4Car">
    <w:name w:val="Título 4 Car"/>
    <w:basedOn w:val="Fuentedeprrafopredeter"/>
    <w:link w:val="Ttulo4"/>
    <w:uiPriority w:val="9"/>
    <w:rsid w:val="00A002A3"/>
    <w:rPr>
      <w:rFonts w:asciiTheme="majorHAnsi" w:eastAsiaTheme="majorEastAsia" w:hAnsiTheme="majorHAnsi" w:cstheme="majorBidi"/>
      <w:b/>
      <w:bCs/>
      <w:i/>
      <w:iCs/>
      <w:color w:val="4472C4" w:themeColor="accent1"/>
      <w:lang w:val="es-ES_tradnl" w:eastAsia="es-MX"/>
    </w:rPr>
  </w:style>
  <w:style w:type="character" w:customStyle="1" w:styleId="Ttulo5Car">
    <w:name w:val="Título 5 Car"/>
    <w:basedOn w:val="Fuentedeprrafopredeter"/>
    <w:link w:val="Ttulo5"/>
    <w:uiPriority w:val="9"/>
    <w:rsid w:val="00A002A3"/>
    <w:rPr>
      <w:rFonts w:asciiTheme="majorHAnsi" w:eastAsiaTheme="majorEastAsia" w:hAnsiTheme="majorHAnsi" w:cstheme="majorBidi"/>
      <w:color w:val="1F3763" w:themeColor="accent1" w:themeShade="7F"/>
      <w:lang w:val="es-ES_tradnl" w:eastAsia="es-MX"/>
    </w:rPr>
  </w:style>
  <w:style w:type="character" w:customStyle="1" w:styleId="Ttulo6Car">
    <w:name w:val="Título 6 Car"/>
    <w:basedOn w:val="Fuentedeprrafopredeter"/>
    <w:link w:val="Ttulo6"/>
    <w:uiPriority w:val="9"/>
    <w:semiHidden/>
    <w:rsid w:val="00A002A3"/>
    <w:rPr>
      <w:rFonts w:asciiTheme="majorHAnsi" w:eastAsiaTheme="majorEastAsia" w:hAnsiTheme="majorHAnsi" w:cstheme="majorBidi"/>
      <w:i/>
      <w:iCs/>
      <w:color w:val="1F3763" w:themeColor="accent1" w:themeShade="7F"/>
      <w:lang w:val="es-ES_tradnl" w:eastAsia="es-MX"/>
    </w:rPr>
  </w:style>
  <w:style w:type="character" w:customStyle="1" w:styleId="Ttulo7Car">
    <w:name w:val="Título 7 Car"/>
    <w:basedOn w:val="Fuentedeprrafopredeter"/>
    <w:link w:val="Ttulo7"/>
    <w:uiPriority w:val="9"/>
    <w:semiHidden/>
    <w:rsid w:val="00A002A3"/>
    <w:rPr>
      <w:rFonts w:asciiTheme="majorHAnsi" w:eastAsiaTheme="majorEastAsia" w:hAnsiTheme="majorHAnsi" w:cstheme="majorBidi"/>
      <w:i/>
      <w:iCs/>
      <w:color w:val="404040" w:themeColor="text1" w:themeTint="BF"/>
      <w:lang w:val="es-ES_tradnl" w:eastAsia="es-MX"/>
    </w:rPr>
  </w:style>
  <w:style w:type="character" w:customStyle="1" w:styleId="Ttulo8Car">
    <w:name w:val="Título 8 Car"/>
    <w:basedOn w:val="Fuentedeprrafopredeter"/>
    <w:link w:val="Ttulo8"/>
    <w:uiPriority w:val="9"/>
    <w:semiHidden/>
    <w:rsid w:val="00A002A3"/>
    <w:rPr>
      <w:rFonts w:asciiTheme="majorHAnsi" w:eastAsiaTheme="majorEastAsia" w:hAnsiTheme="majorHAnsi" w:cstheme="majorBidi"/>
      <w:color w:val="404040" w:themeColor="text1" w:themeTint="BF"/>
      <w:sz w:val="20"/>
      <w:szCs w:val="20"/>
      <w:lang w:val="es-ES_tradnl" w:eastAsia="es-MX"/>
    </w:rPr>
  </w:style>
  <w:style w:type="character" w:customStyle="1" w:styleId="Ttulo9Car">
    <w:name w:val="Título 9 Car"/>
    <w:basedOn w:val="Fuentedeprrafopredeter"/>
    <w:link w:val="Ttulo9"/>
    <w:uiPriority w:val="9"/>
    <w:semiHidden/>
    <w:rsid w:val="00A002A3"/>
    <w:rPr>
      <w:rFonts w:asciiTheme="majorHAnsi" w:eastAsiaTheme="majorEastAsia" w:hAnsiTheme="majorHAnsi" w:cstheme="majorBidi"/>
      <w:i/>
      <w:iCs/>
      <w:color w:val="404040" w:themeColor="text1" w:themeTint="BF"/>
      <w:sz w:val="20"/>
      <w:szCs w:val="20"/>
      <w:lang w:val="es-ES_tradnl" w:eastAsia="es-MX"/>
    </w:rPr>
  </w:style>
  <w:style w:type="paragraph" w:styleId="Prrafodelista">
    <w:name w:val="List Paragraph"/>
    <w:aliases w:val="lp1,List Paragraph1,List Paragraph11,Bullet List,FooterText,numbered,Paragraphe de liste1,Bulletr List Paragraph,列出段落,列出段落1,Listas,Colorful List - Accent 11,Lista vistosa - Énfasis 11,Scitum normal,List Paragraph,4 Párrafo de lista,lp11"/>
    <w:basedOn w:val="Normal"/>
    <w:link w:val="PrrafodelistaCar"/>
    <w:uiPriority w:val="34"/>
    <w:qFormat/>
    <w:rsid w:val="00A002A3"/>
    <w:pPr>
      <w:spacing w:after="160" w:line="259" w:lineRule="auto"/>
      <w:ind w:left="720"/>
      <w:contextualSpacing/>
    </w:pPr>
    <w:rPr>
      <w:rFonts w:eastAsiaTheme="minorHAnsi"/>
      <w:sz w:val="22"/>
      <w:szCs w:val="22"/>
      <w:lang w:val="es-MX"/>
    </w:rPr>
  </w:style>
  <w:style w:type="table" w:styleId="Tablaconcuadrcula">
    <w:name w:val="Table Grid"/>
    <w:aliases w:val="Tabla Microsoft Servicios"/>
    <w:basedOn w:val="Tablanormal"/>
    <w:uiPriority w:val="59"/>
    <w:rsid w:val="00A002A3"/>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A002A3"/>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A002A3"/>
    <w:rPr>
      <w:rFonts w:ascii="Calibri" w:eastAsia="Calibri" w:hAnsi="Calibri" w:cs="Times New Roman"/>
      <w:sz w:val="22"/>
      <w:szCs w:val="22"/>
    </w:rPr>
  </w:style>
  <w:style w:type="paragraph" w:styleId="NormalWeb">
    <w:name w:val="Normal (Web)"/>
    <w:aliases w:val="Normal (Web) Car Car,Normal (Web) Car Car Car Car Car,Normal (Web) Car Car Car,Normal (Web) Car Car Car Car Car Car Car,Normal (Web) Car Car Car Car,Car Car Car"/>
    <w:basedOn w:val="Normal"/>
    <w:link w:val="NormalWebCar"/>
    <w:uiPriority w:val="99"/>
    <w:semiHidden/>
    <w:unhideWhenUsed/>
    <w:qFormat/>
    <w:rsid w:val="00A002A3"/>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002A3"/>
    <w:rPr>
      <w:b/>
      <w:bCs/>
    </w:rPr>
  </w:style>
  <w:style w:type="character" w:customStyle="1" w:styleId="PrrafodelistaCar">
    <w:name w:val="Párrafo de lista Car"/>
    <w:aliases w:val="lp1 Car,List Paragraph1 Car,List Paragraph11 Car,Bullet List Car,FooterText Car,numbered Car,Paragraphe de liste1 Car,Bulletr List Paragraph Car,列出段落 Car,列出段落1 Car,Listas Car,Colorful List - Accent 11 Car,Scitum normal Car,lp11 Car"/>
    <w:link w:val="Prrafodelista"/>
    <w:uiPriority w:val="34"/>
    <w:qFormat/>
    <w:rsid w:val="00A002A3"/>
    <w:rPr>
      <w:sz w:val="22"/>
      <w:szCs w:val="22"/>
    </w:rPr>
  </w:style>
  <w:style w:type="table" w:styleId="Listaclara-nfasis3">
    <w:name w:val="Light List Accent 3"/>
    <w:basedOn w:val="Tablanormal"/>
    <w:uiPriority w:val="61"/>
    <w:rsid w:val="00A002A3"/>
    <w:rPr>
      <w:rFonts w:ascii="Calibri" w:eastAsia="Calibri" w:hAnsi="Calibri" w:cs="Times New Roman"/>
      <w:sz w:val="20"/>
      <w:szCs w:val="20"/>
      <w:lang w:eastAsia="es-MX"/>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Hipervnculo">
    <w:name w:val="Hyperlink"/>
    <w:basedOn w:val="Fuentedeprrafopredeter"/>
    <w:uiPriority w:val="99"/>
    <w:unhideWhenUsed/>
    <w:rsid w:val="00A002A3"/>
    <w:rPr>
      <w:color w:val="0563C1" w:themeColor="hyperlink"/>
      <w:u w:val="single"/>
    </w:rPr>
  </w:style>
  <w:style w:type="paragraph" w:styleId="Revisin">
    <w:name w:val="Revision"/>
    <w:hidden/>
    <w:uiPriority w:val="99"/>
    <w:semiHidden/>
    <w:rsid w:val="00A002A3"/>
    <w:rPr>
      <w:rFonts w:eastAsiaTheme="minorEastAsia"/>
      <w:lang w:val="es-ES_tradnl"/>
    </w:rPr>
  </w:style>
  <w:style w:type="paragraph" w:styleId="Textonotapie">
    <w:name w:val="footnote text"/>
    <w:aliases w:val="teques"/>
    <w:basedOn w:val="Normal"/>
    <w:link w:val="TextonotapieCar"/>
    <w:uiPriority w:val="99"/>
    <w:unhideWhenUsed/>
    <w:rsid w:val="00A002A3"/>
    <w:rPr>
      <w:sz w:val="20"/>
      <w:szCs w:val="20"/>
      <w:lang w:val="es-ES_tradnl"/>
    </w:rPr>
  </w:style>
  <w:style w:type="character" w:customStyle="1" w:styleId="TextonotapieCar">
    <w:name w:val="Texto nota pie Car"/>
    <w:aliases w:val="teques Car"/>
    <w:basedOn w:val="Fuentedeprrafopredeter"/>
    <w:link w:val="Textonotapie"/>
    <w:uiPriority w:val="99"/>
    <w:rsid w:val="00A002A3"/>
    <w:rPr>
      <w:rFonts w:eastAsiaTheme="minorEastAsia"/>
      <w:sz w:val="20"/>
      <w:szCs w:val="20"/>
      <w:lang w:val="es-ES_tradnl"/>
    </w:rPr>
  </w:style>
  <w:style w:type="character" w:styleId="Refdenotaalpie">
    <w:name w:val="footnote reference"/>
    <w:basedOn w:val="Fuentedeprrafopredeter"/>
    <w:uiPriority w:val="99"/>
    <w:semiHidden/>
    <w:unhideWhenUsed/>
    <w:rsid w:val="00A002A3"/>
    <w:rPr>
      <w:vertAlign w:val="superscript"/>
    </w:rPr>
  </w:style>
  <w:style w:type="character" w:styleId="Hipervnculovisitado">
    <w:name w:val="FollowedHyperlink"/>
    <w:basedOn w:val="Fuentedeprrafopredeter"/>
    <w:uiPriority w:val="99"/>
    <w:semiHidden/>
    <w:unhideWhenUsed/>
    <w:rsid w:val="00A002A3"/>
    <w:rPr>
      <w:color w:val="954F72" w:themeColor="followedHyperlink"/>
      <w:u w:val="single"/>
    </w:rPr>
  </w:style>
  <w:style w:type="character" w:customStyle="1" w:styleId="NormalWebCar">
    <w:name w:val="Normal (Web) Car"/>
    <w:aliases w:val="Normal (Web) Car Car Car1,Normal (Web) Car Car Car Car Car Car,Normal (Web) Car Car Car Car1,Normal (Web) Car Car Car Car Car Car Car Car,Normal (Web) Car Car Car Car Car1,Car Car Car Car"/>
    <w:link w:val="NormalWeb"/>
    <w:uiPriority w:val="99"/>
    <w:semiHidden/>
    <w:locked/>
    <w:rsid w:val="00A002A3"/>
    <w:rPr>
      <w:rFonts w:ascii="Times New Roman" w:eastAsia="Times New Roman" w:hAnsi="Times New Roman" w:cs="Times New Roman"/>
      <w:lang w:eastAsia="es-MX"/>
    </w:rPr>
  </w:style>
  <w:style w:type="character" w:customStyle="1" w:styleId="TextonotapieCar1">
    <w:name w:val="Texto nota pie Car1"/>
    <w:aliases w:val="teques Car1"/>
    <w:basedOn w:val="Fuentedeprrafopredeter"/>
    <w:uiPriority w:val="99"/>
    <w:semiHidden/>
    <w:rsid w:val="00A002A3"/>
    <w:rPr>
      <w:rFonts w:ascii="Times New Roman" w:eastAsia="Times New Roman" w:hAnsi="Times New Roman" w:cs="Times New Roman"/>
      <w:sz w:val="20"/>
      <w:szCs w:val="20"/>
      <w:lang w:eastAsia="es-MX"/>
    </w:rPr>
  </w:style>
  <w:style w:type="character" w:customStyle="1" w:styleId="TextocomentarioCar">
    <w:name w:val="Texto comentario Car"/>
    <w:basedOn w:val="Fuentedeprrafopredeter"/>
    <w:link w:val="Textocomentario"/>
    <w:uiPriority w:val="99"/>
    <w:locked/>
    <w:rsid w:val="00A002A3"/>
    <w:rPr>
      <w:rFonts w:ascii="Times New Roman" w:eastAsia="Times New Roman" w:hAnsi="Times New Roman" w:cs="Times New Roman"/>
    </w:rPr>
  </w:style>
  <w:style w:type="character" w:customStyle="1" w:styleId="TtuloCar">
    <w:name w:val="Título Car"/>
    <w:basedOn w:val="Fuentedeprrafopredeter"/>
    <w:link w:val="Ttulo"/>
    <w:uiPriority w:val="99"/>
    <w:locked/>
    <w:rsid w:val="00A002A3"/>
    <w:rPr>
      <w:rFonts w:ascii="Arial" w:eastAsia="Times New Roman" w:hAnsi="Arial" w:cs="Arial"/>
      <w:b/>
      <w:bCs/>
      <w:lang w:val="es-ES_tradnl" w:eastAsia="es-ES"/>
    </w:rPr>
  </w:style>
  <w:style w:type="character" w:customStyle="1" w:styleId="SangradetextonormalCar">
    <w:name w:val="Sangría de texto normal Car"/>
    <w:basedOn w:val="Fuentedeprrafopredeter"/>
    <w:link w:val="Sangradetextonormal"/>
    <w:semiHidden/>
    <w:locked/>
    <w:rsid w:val="00A002A3"/>
    <w:rPr>
      <w:rFonts w:ascii="Arial" w:eastAsia="Times New Roman" w:hAnsi="Arial" w:cs="Arial"/>
      <w:lang w:val="es-ES_tradnl" w:eastAsia="es-ES"/>
    </w:rPr>
  </w:style>
  <w:style w:type="paragraph" w:styleId="Ttulo">
    <w:name w:val="Title"/>
    <w:basedOn w:val="Normal"/>
    <w:link w:val="TtuloCar"/>
    <w:uiPriority w:val="99"/>
    <w:qFormat/>
    <w:rsid w:val="00A002A3"/>
    <w:pPr>
      <w:jc w:val="center"/>
    </w:pPr>
    <w:rPr>
      <w:rFonts w:ascii="Arial" w:eastAsia="Times New Roman" w:hAnsi="Arial" w:cs="Arial"/>
      <w:b/>
      <w:bCs/>
      <w:lang w:val="es-ES_tradnl" w:eastAsia="es-ES"/>
    </w:rPr>
  </w:style>
  <w:style w:type="character" w:customStyle="1" w:styleId="TtuloCar1">
    <w:name w:val="Título Car1"/>
    <w:basedOn w:val="Fuentedeprrafopredeter"/>
    <w:uiPriority w:val="99"/>
    <w:rsid w:val="00A002A3"/>
    <w:rPr>
      <w:rFonts w:asciiTheme="majorHAnsi" w:eastAsiaTheme="majorEastAsia" w:hAnsiTheme="majorHAnsi" w:cstheme="majorBidi"/>
      <w:spacing w:val="-10"/>
      <w:kern w:val="28"/>
      <w:sz w:val="56"/>
      <w:szCs w:val="56"/>
      <w:lang w:val="es-ES"/>
    </w:rPr>
  </w:style>
  <w:style w:type="character" w:customStyle="1" w:styleId="SubttuloCar">
    <w:name w:val="Subtítulo Car"/>
    <w:basedOn w:val="Fuentedeprrafopredeter"/>
    <w:link w:val="Subttulo"/>
    <w:uiPriority w:val="11"/>
    <w:locked/>
    <w:rsid w:val="00A002A3"/>
    <w:rPr>
      <w:rFonts w:ascii="Arial" w:eastAsia="Times New Roman" w:hAnsi="Arial" w:cs="Arial"/>
      <w:b/>
      <w:bCs/>
      <w:lang w:val="es-ES_tradnl" w:eastAsia="es-ES"/>
    </w:rPr>
  </w:style>
  <w:style w:type="character" w:customStyle="1" w:styleId="FechaCar">
    <w:name w:val="Fecha Car"/>
    <w:basedOn w:val="Fuentedeprrafopredeter"/>
    <w:link w:val="Fecha"/>
    <w:uiPriority w:val="99"/>
    <w:semiHidden/>
    <w:locked/>
    <w:rsid w:val="00A002A3"/>
    <w:rPr>
      <w:rFonts w:eastAsiaTheme="minorEastAsia"/>
      <w:lang w:val="es-ES_tradnl"/>
    </w:rPr>
  </w:style>
  <w:style w:type="character" w:customStyle="1" w:styleId="Textoindependiente2Car">
    <w:name w:val="Texto independiente 2 Car"/>
    <w:basedOn w:val="Fuentedeprrafopredeter"/>
    <w:link w:val="Textoindependiente2"/>
    <w:semiHidden/>
    <w:locked/>
    <w:rsid w:val="00A002A3"/>
    <w:rPr>
      <w:rFonts w:ascii="Arial" w:eastAsia="Times New Roman" w:hAnsi="Arial" w:cs="Arial"/>
      <w:lang w:val="es-ES_tradnl" w:eastAsia="es-ES"/>
    </w:rPr>
  </w:style>
  <w:style w:type="character" w:customStyle="1" w:styleId="Textoindependiente3Car">
    <w:name w:val="Texto independiente 3 Car"/>
    <w:basedOn w:val="Fuentedeprrafopredeter"/>
    <w:link w:val="Textoindependiente3"/>
    <w:uiPriority w:val="99"/>
    <w:semiHidden/>
    <w:locked/>
    <w:rsid w:val="00A002A3"/>
    <w:rPr>
      <w:rFonts w:ascii="Arial" w:eastAsia="Times New Roman" w:hAnsi="Arial" w:cs="Arial"/>
      <w:b/>
      <w:bCs/>
    </w:rPr>
  </w:style>
  <w:style w:type="character" w:customStyle="1" w:styleId="Sangra2detindependienteCar">
    <w:name w:val="Sangría 2 de t. independiente Car"/>
    <w:basedOn w:val="Fuentedeprrafopredeter"/>
    <w:link w:val="Sangra2detindependiente"/>
    <w:uiPriority w:val="99"/>
    <w:semiHidden/>
    <w:locked/>
    <w:rsid w:val="00A002A3"/>
    <w:rPr>
      <w:rFonts w:eastAsiaTheme="minorEastAsia"/>
      <w:lang w:val="es-ES_tradnl"/>
    </w:rPr>
  </w:style>
  <w:style w:type="character" w:customStyle="1" w:styleId="TextosinformatoCar">
    <w:name w:val="Texto sin formato Car"/>
    <w:basedOn w:val="Fuentedeprrafopredeter"/>
    <w:link w:val="Textosinformato"/>
    <w:semiHidden/>
    <w:locked/>
    <w:rsid w:val="00A002A3"/>
    <w:rPr>
      <w:rFonts w:ascii="Courier New" w:eastAsia="Times New Roman" w:hAnsi="Courier New" w:cs="Courier New"/>
      <w:lang w:eastAsia="es-ES"/>
    </w:rPr>
  </w:style>
  <w:style w:type="paragraph" w:styleId="Textocomentario">
    <w:name w:val="annotation text"/>
    <w:basedOn w:val="Normal"/>
    <w:link w:val="TextocomentarioCar"/>
    <w:uiPriority w:val="99"/>
    <w:unhideWhenUsed/>
    <w:rsid w:val="00A002A3"/>
    <w:rPr>
      <w:rFonts w:ascii="Times New Roman" w:eastAsia="Times New Roman" w:hAnsi="Times New Roman" w:cs="Times New Roman"/>
      <w:lang w:val="es-MX"/>
    </w:rPr>
  </w:style>
  <w:style w:type="character" w:customStyle="1" w:styleId="TextocomentarioCar1">
    <w:name w:val="Texto comentario Car1"/>
    <w:basedOn w:val="Fuentedeprrafopredeter"/>
    <w:uiPriority w:val="99"/>
    <w:semiHidden/>
    <w:rsid w:val="00A002A3"/>
    <w:rPr>
      <w:rFonts w:eastAsiaTheme="minorEastAsia"/>
      <w:sz w:val="20"/>
      <w:szCs w:val="20"/>
      <w:lang w:val="es-ES"/>
    </w:rPr>
  </w:style>
  <w:style w:type="character" w:customStyle="1" w:styleId="AsuntodelcomentarioCar">
    <w:name w:val="Asunto del comentario Car"/>
    <w:basedOn w:val="TextocomentarioCar"/>
    <w:link w:val="Asuntodelcomentario"/>
    <w:uiPriority w:val="99"/>
    <w:semiHidden/>
    <w:locked/>
    <w:rsid w:val="00A002A3"/>
    <w:rPr>
      <w:rFonts w:ascii="Times New Roman" w:eastAsia="Times New Roman" w:hAnsi="Times New Roman" w:cs="Times New Roman"/>
      <w:b/>
      <w:bCs/>
    </w:rPr>
  </w:style>
  <w:style w:type="character" w:customStyle="1" w:styleId="SinespaciadoCar">
    <w:name w:val="Sin espaciado Car"/>
    <w:basedOn w:val="Fuentedeprrafopredeter"/>
    <w:link w:val="Sinespaciado"/>
    <w:uiPriority w:val="1"/>
    <w:locked/>
    <w:rsid w:val="00A002A3"/>
  </w:style>
  <w:style w:type="paragraph" w:customStyle="1" w:styleId="copia">
    <w:name w:val="copia"/>
    <w:basedOn w:val="Normal"/>
    <w:uiPriority w:val="99"/>
    <w:qFormat/>
    <w:rsid w:val="00A002A3"/>
    <w:rPr>
      <w:rFonts w:ascii="Arial" w:hAnsi="Arial"/>
      <w:sz w:val="18"/>
      <w:lang w:val="es-ES_tradnl" w:eastAsia="es-MX"/>
    </w:rPr>
  </w:style>
  <w:style w:type="paragraph" w:customStyle="1" w:styleId="Default">
    <w:name w:val="Default"/>
    <w:uiPriority w:val="99"/>
    <w:rsid w:val="00A002A3"/>
    <w:pPr>
      <w:autoSpaceDE w:val="0"/>
      <w:autoSpaceDN w:val="0"/>
      <w:adjustRightInd w:val="0"/>
    </w:pPr>
    <w:rPr>
      <w:rFonts w:ascii="Arial" w:eastAsia="MS Mincho" w:hAnsi="Arial" w:cs="Arial"/>
      <w:color w:val="000000"/>
    </w:rPr>
  </w:style>
  <w:style w:type="paragraph" w:customStyle="1" w:styleId="Pa2">
    <w:name w:val="Pa2"/>
    <w:basedOn w:val="Default"/>
    <w:next w:val="Default"/>
    <w:uiPriority w:val="99"/>
    <w:rsid w:val="00A002A3"/>
    <w:pPr>
      <w:spacing w:line="241" w:lineRule="atLeast"/>
    </w:pPr>
    <w:rPr>
      <w:color w:val="auto"/>
      <w:lang w:eastAsia="es-MX"/>
    </w:rPr>
  </w:style>
  <w:style w:type="character" w:customStyle="1" w:styleId="ComentarioCar">
    <w:name w:val="Comentario Car"/>
    <w:basedOn w:val="Fuentedeprrafopredeter"/>
    <w:link w:val="Comentario"/>
    <w:locked/>
    <w:rsid w:val="00A002A3"/>
    <w:rPr>
      <w:rFonts w:ascii="Times New Roman" w:eastAsia="MS Mincho" w:hAnsi="Times New Roman" w:cs="Times New Roman"/>
      <w:lang w:val="es-ES"/>
    </w:rPr>
  </w:style>
  <w:style w:type="paragraph" w:customStyle="1" w:styleId="Comentario">
    <w:name w:val="Comentario"/>
    <w:basedOn w:val="Normal"/>
    <w:link w:val="ComentarioCar"/>
    <w:rsid w:val="00A002A3"/>
    <w:pPr>
      <w:spacing w:after="180"/>
      <w:jc w:val="both"/>
    </w:pPr>
    <w:rPr>
      <w:rFonts w:ascii="Times New Roman" w:eastAsia="MS Mincho" w:hAnsi="Times New Roman" w:cs="Times New Roman"/>
    </w:rPr>
  </w:style>
  <w:style w:type="paragraph" w:customStyle="1" w:styleId="Textoapartirdelsegundoparrafo">
    <w:name w:val="Texto a partir del segundo parrafo"/>
    <w:basedOn w:val="Normal"/>
    <w:uiPriority w:val="99"/>
    <w:rsid w:val="00A002A3"/>
    <w:pPr>
      <w:suppressAutoHyphens/>
      <w:autoSpaceDE w:val="0"/>
      <w:autoSpaceDN w:val="0"/>
      <w:adjustRightInd w:val="0"/>
      <w:spacing w:line="320" w:lineRule="atLeast"/>
      <w:ind w:firstLine="283"/>
      <w:jc w:val="both"/>
    </w:pPr>
    <w:rPr>
      <w:rFonts w:ascii="Helvetica LT Std Light" w:eastAsiaTheme="minorHAnsi" w:hAnsi="Helvetica LT Std Light" w:cs="Helvetica LT Std Light"/>
      <w:color w:val="000000"/>
      <w:sz w:val="20"/>
      <w:szCs w:val="20"/>
      <w:lang w:val="es-ES_tradnl" w:eastAsia="es-MX"/>
    </w:rPr>
  </w:style>
  <w:style w:type="paragraph" w:customStyle="1" w:styleId="feetNote">
    <w:name w:val=".feetNote"/>
    <w:basedOn w:val="Normal"/>
    <w:next w:val="Normal"/>
    <w:uiPriority w:val="99"/>
    <w:rsid w:val="00A002A3"/>
    <w:pPr>
      <w:autoSpaceDE w:val="0"/>
      <w:autoSpaceDN w:val="0"/>
      <w:adjustRightInd w:val="0"/>
      <w:spacing w:line="200" w:lineRule="atLeast"/>
      <w:ind w:left="200" w:hanging="200"/>
      <w:jc w:val="both"/>
    </w:pPr>
    <w:rPr>
      <w:rFonts w:ascii="Soberana Sans Light" w:eastAsiaTheme="minorHAnsi" w:hAnsi="Soberana Sans Light" w:cs="Soberana Sans Light"/>
      <w:color w:val="000000"/>
      <w:spacing w:val="-2"/>
      <w:sz w:val="14"/>
      <w:szCs w:val="14"/>
      <w:lang w:val="es-ES_tradnl" w:eastAsia="es-MX"/>
    </w:rPr>
  </w:style>
  <w:style w:type="paragraph" w:customStyle="1" w:styleId="Bullets">
    <w:name w:val="Bullets"/>
    <w:basedOn w:val="Normal"/>
    <w:uiPriority w:val="99"/>
    <w:rsid w:val="00A002A3"/>
    <w:pPr>
      <w:tabs>
        <w:tab w:val="decimal" w:pos="0"/>
      </w:tabs>
      <w:autoSpaceDE w:val="0"/>
      <w:autoSpaceDN w:val="0"/>
      <w:adjustRightInd w:val="0"/>
      <w:spacing w:line="320" w:lineRule="atLeast"/>
      <w:ind w:left="397" w:hanging="177"/>
      <w:jc w:val="both"/>
    </w:pPr>
    <w:rPr>
      <w:rFonts w:ascii="Soberana Sans Light" w:eastAsiaTheme="minorHAnsi" w:hAnsi="Soberana Sans Light" w:cs="Soberana Sans Light"/>
      <w:color w:val="000000"/>
      <w:spacing w:val="-2"/>
      <w:sz w:val="20"/>
      <w:szCs w:val="20"/>
      <w:lang w:val="es-ES_tradnl" w:eastAsia="es-MX"/>
    </w:rPr>
  </w:style>
  <w:style w:type="character" w:customStyle="1" w:styleId="firmaCar">
    <w:name w:val="firma Car"/>
    <w:basedOn w:val="Fuentedeprrafopredeter"/>
    <w:link w:val="firma"/>
    <w:locked/>
    <w:rsid w:val="00A002A3"/>
    <w:rPr>
      <w:rFonts w:ascii="Arial" w:hAnsi="Arial" w:cs="Arial"/>
      <w:b/>
      <w:lang w:val="es-ES" w:eastAsia="es-ES"/>
    </w:rPr>
  </w:style>
  <w:style w:type="paragraph" w:customStyle="1" w:styleId="firma">
    <w:name w:val="firma"/>
    <w:basedOn w:val="Normal"/>
    <w:link w:val="firmaCar"/>
    <w:qFormat/>
    <w:rsid w:val="00A002A3"/>
    <w:pPr>
      <w:spacing w:before="100" w:beforeAutospacing="1" w:after="100" w:afterAutospacing="1"/>
      <w:jc w:val="center"/>
    </w:pPr>
    <w:rPr>
      <w:rFonts w:ascii="Arial" w:eastAsiaTheme="minorHAnsi" w:hAnsi="Arial" w:cs="Arial"/>
      <w:b/>
      <w:lang w:eastAsia="es-ES"/>
    </w:rPr>
  </w:style>
  <w:style w:type="character" w:customStyle="1" w:styleId="destinatarioCar">
    <w:name w:val="destinatario Car"/>
    <w:basedOn w:val="Fuentedeprrafopredeter"/>
    <w:link w:val="destinatario"/>
    <w:locked/>
    <w:rsid w:val="00A002A3"/>
    <w:rPr>
      <w:rFonts w:ascii="Arial" w:hAnsi="Arial" w:cs="Arial"/>
      <w:lang w:val="es-ES" w:eastAsia="es-ES"/>
    </w:rPr>
  </w:style>
  <w:style w:type="paragraph" w:customStyle="1" w:styleId="destinatario">
    <w:name w:val="destinatario"/>
    <w:link w:val="destinatarioCar"/>
    <w:qFormat/>
    <w:rsid w:val="00A002A3"/>
    <w:pPr>
      <w:ind w:right="5648"/>
    </w:pPr>
    <w:rPr>
      <w:rFonts w:ascii="Arial" w:hAnsi="Arial" w:cs="Arial"/>
      <w:lang w:val="es-ES" w:eastAsia="es-ES"/>
    </w:rPr>
  </w:style>
  <w:style w:type="paragraph" w:customStyle="1" w:styleId="Sangra3detindependiente1">
    <w:name w:val="Sangría 3 de t. independiente1"/>
    <w:basedOn w:val="Normal"/>
    <w:uiPriority w:val="99"/>
    <w:rsid w:val="00A002A3"/>
    <w:pPr>
      <w:suppressAutoHyphens/>
      <w:autoSpaceDE w:val="0"/>
      <w:ind w:left="284" w:hanging="284"/>
      <w:jc w:val="both"/>
    </w:pPr>
    <w:rPr>
      <w:rFonts w:ascii="Arial" w:eastAsia="Times New Roman" w:hAnsi="Arial" w:cs="Arial"/>
      <w:sz w:val="20"/>
      <w:szCs w:val="20"/>
      <w:lang w:val="es-ES_tradnl" w:eastAsia="ar-SA"/>
    </w:rPr>
  </w:style>
  <w:style w:type="paragraph" w:customStyle="1" w:styleId="CarCar">
    <w:name w:val="Car Car"/>
    <w:basedOn w:val="Normal"/>
    <w:uiPriority w:val="99"/>
    <w:rsid w:val="00A002A3"/>
    <w:pPr>
      <w:spacing w:after="160" w:line="240" w:lineRule="exact"/>
    </w:pPr>
    <w:rPr>
      <w:rFonts w:ascii="Tahoma" w:eastAsia="Times New Roman" w:hAnsi="Tahoma" w:cs="Times New Roman"/>
      <w:sz w:val="20"/>
      <w:szCs w:val="20"/>
      <w:lang w:val="en-US"/>
    </w:rPr>
  </w:style>
  <w:style w:type="character" w:customStyle="1" w:styleId="TextoCar">
    <w:name w:val="Texto Car"/>
    <w:link w:val="Texto"/>
    <w:locked/>
    <w:rsid w:val="00A002A3"/>
    <w:rPr>
      <w:rFonts w:ascii="Arial" w:hAnsi="Arial" w:cs="Arial"/>
      <w:sz w:val="18"/>
      <w:lang w:val="es-ES" w:eastAsia="es-ES"/>
    </w:rPr>
  </w:style>
  <w:style w:type="paragraph" w:customStyle="1" w:styleId="Texto">
    <w:name w:val="Texto"/>
    <w:basedOn w:val="Normal"/>
    <w:link w:val="TextoCar"/>
    <w:rsid w:val="00A002A3"/>
    <w:pPr>
      <w:spacing w:after="101" w:line="216" w:lineRule="exact"/>
      <w:ind w:firstLine="288"/>
      <w:jc w:val="both"/>
    </w:pPr>
    <w:rPr>
      <w:rFonts w:ascii="Arial" w:eastAsiaTheme="minorHAnsi" w:hAnsi="Arial" w:cs="Arial"/>
      <w:sz w:val="18"/>
      <w:lang w:eastAsia="es-ES"/>
    </w:rPr>
  </w:style>
  <w:style w:type="paragraph" w:customStyle="1" w:styleId="indice">
    <w:name w:val="indice"/>
    <w:basedOn w:val="Normal"/>
    <w:uiPriority w:val="99"/>
    <w:rsid w:val="00A002A3"/>
    <w:pPr>
      <w:spacing w:before="100" w:beforeAutospacing="1" w:after="100" w:afterAutospacing="1"/>
      <w:jc w:val="both"/>
    </w:pPr>
    <w:rPr>
      <w:rFonts w:ascii="Times New Roman" w:eastAsia="Times New Roman" w:hAnsi="Times New Roman" w:cs="Times New Roman"/>
      <w:color w:val="595843"/>
      <w:lang w:eastAsia="es-ES"/>
    </w:rPr>
  </w:style>
  <w:style w:type="paragraph" w:customStyle="1" w:styleId="pcstexto">
    <w:name w:val="pcstexto"/>
    <w:basedOn w:val="Normal"/>
    <w:uiPriority w:val="99"/>
    <w:rsid w:val="00A002A3"/>
    <w:pPr>
      <w:spacing w:line="240" w:lineRule="exact"/>
      <w:ind w:firstLine="288"/>
      <w:jc w:val="both"/>
    </w:pPr>
    <w:rPr>
      <w:rFonts w:ascii="Univers (W1)" w:eastAsia="Calibri" w:hAnsi="Univers (W1)" w:cs="Univers (W1)"/>
      <w:sz w:val="18"/>
      <w:szCs w:val="20"/>
      <w:lang w:val="es-MX" w:eastAsia="es-MX"/>
    </w:rPr>
  </w:style>
  <w:style w:type="paragraph" w:customStyle="1" w:styleId="texto0">
    <w:name w:val="texto"/>
    <w:basedOn w:val="Normal"/>
    <w:uiPriority w:val="99"/>
    <w:rsid w:val="00A002A3"/>
    <w:pPr>
      <w:spacing w:after="101" w:line="216" w:lineRule="atLeast"/>
      <w:ind w:firstLine="288"/>
      <w:jc w:val="both"/>
    </w:pPr>
    <w:rPr>
      <w:rFonts w:ascii="Arial" w:eastAsia="Calibri" w:hAnsi="Arial" w:cs="Arial"/>
      <w:noProof/>
      <w:sz w:val="18"/>
      <w:szCs w:val="20"/>
      <w:lang w:val="en-GB" w:eastAsia="es-MX"/>
    </w:rPr>
  </w:style>
  <w:style w:type="paragraph" w:customStyle="1" w:styleId="versales">
    <w:name w:val="versales"/>
    <w:basedOn w:val="Normal"/>
    <w:uiPriority w:val="99"/>
    <w:rsid w:val="00A002A3"/>
    <w:pPr>
      <w:spacing w:before="100" w:beforeAutospacing="1" w:after="100" w:afterAutospacing="1"/>
      <w:jc w:val="both"/>
    </w:pPr>
    <w:rPr>
      <w:rFonts w:ascii="Times New Roman" w:eastAsia="Calibri" w:hAnsi="Times New Roman" w:cs="Times New Roman"/>
      <w:smallCaps/>
      <w:color w:val="9D0000"/>
      <w:lang w:eastAsia="es-ES"/>
    </w:rPr>
  </w:style>
  <w:style w:type="paragraph" w:customStyle="1" w:styleId="ROMANOS1">
    <w:name w:val="ROMANOS1"/>
    <w:basedOn w:val="Normal"/>
    <w:uiPriority w:val="99"/>
    <w:rsid w:val="00A002A3"/>
    <w:pPr>
      <w:tabs>
        <w:tab w:val="left" w:pos="990"/>
      </w:tabs>
      <w:spacing w:after="101" w:line="216" w:lineRule="atLeast"/>
      <w:ind w:left="990" w:hanging="720"/>
      <w:jc w:val="both"/>
    </w:pPr>
    <w:rPr>
      <w:rFonts w:ascii="Arial" w:eastAsia="Calibri" w:hAnsi="Arial" w:cs="Times New Roman"/>
      <w:sz w:val="18"/>
      <w:szCs w:val="20"/>
      <w:lang w:val="es-MX" w:eastAsia="es-ES"/>
    </w:rPr>
  </w:style>
  <w:style w:type="character" w:customStyle="1" w:styleId="ROMANOSCar">
    <w:name w:val="ROMANOS Car"/>
    <w:link w:val="ROMANOS"/>
    <w:locked/>
    <w:rsid w:val="00A002A3"/>
    <w:rPr>
      <w:rFonts w:ascii="Arial" w:eastAsia="Times New Roman" w:hAnsi="Arial" w:cs="Arial"/>
      <w:sz w:val="18"/>
      <w:lang w:val="x-none" w:eastAsia="es-ES"/>
    </w:rPr>
  </w:style>
  <w:style w:type="paragraph" w:customStyle="1" w:styleId="ROMANOS">
    <w:name w:val="ROMANOS"/>
    <w:basedOn w:val="Normal"/>
    <w:link w:val="ROMANOSCar"/>
    <w:rsid w:val="00A002A3"/>
    <w:pPr>
      <w:tabs>
        <w:tab w:val="left" w:pos="720"/>
      </w:tabs>
      <w:spacing w:after="101" w:line="216" w:lineRule="atLeast"/>
      <w:ind w:left="720" w:hanging="432"/>
      <w:jc w:val="both"/>
    </w:pPr>
    <w:rPr>
      <w:rFonts w:ascii="Arial" w:eastAsia="Times New Roman" w:hAnsi="Arial" w:cs="Arial"/>
      <w:sz w:val="18"/>
      <w:lang w:val="x-none" w:eastAsia="es-ES"/>
    </w:rPr>
  </w:style>
  <w:style w:type="paragraph" w:customStyle="1" w:styleId="sangria">
    <w:name w:val="sangria"/>
    <w:basedOn w:val="Normal"/>
    <w:uiPriority w:val="99"/>
    <w:rsid w:val="00A002A3"/>
    <w:pPr>
      <w:spacing w:before="100" w:beforeAutospacing="1" w:after="100" w:afterAutospacing="1"/>
    </w:pPr>
    <w:rPr>
      <w:rFonts w:ascii="Times New Roman" w:eastAsia="Times New Roman" w:hAnsi="Times New Roman" w:cs="Times New Roman"/>
      <w:lang w:eastAsia="es-ES"/>
    </w:rPr>
  </w:style>
  <w:style w:type="paragraph" w:customStyle="1" w:styleId="centrar">
    <w:name w:val="centrar"/>
    <w:basedOn w:val="Normal"/>
    <w:uiPriority w:val="99"/>
    <w:rsid w:val="00A002A3"/>
    <w:pPr>
      <w:spacing w:before="100" w:beforeAutospacing="1" w:after="100" w:afterAutospacing="1"/>
    </w:pPr>
    <w:rPr>
      <w:rFonts w:ascii="Times New Roman" w:eastAsia="Times New Roman" w:hAnsi="Times New Roman" w:cs="Times New Roman"/>
      <w:lang w:eastAsia="es-ES"/>
    </w:rPr>
  </w:style>
  <w:style w:type="paragraph" w:customStyle="1" w:styleId="derecha">
    <w:name w:val="derecha"/>
    <w:basedOn w:val="Normal"/>
    <w:uiPriority w:val="99"/>
    <w:rsid w:val="00A002A3"/>
    <w:pPr>
      <w:spacing w:before="100" w:beforeAutospacing="1" w:after="100" w:afterAutospacing="1"/>
    </w:pPr>
    <w:rPr>
      <w:rFonts w:ascii="Times New Roman" w:eastAsia="Times New Roman" w:hAnsi="Times New Roman" w:cs="Times New Roman"/>
      <w:lang w:eastAsia="es-ES"/>
    </w:rPr>
  </w:style>
  <w:style w:type="paragraph" w:customStyle="1" w:styleId="atentamente">
    <w:name w:val="atentamente"/>
    <w:basedOn w:val="Normal"/>
    <w:uiPriority w:val="99"/>
    <w:rsid w:val="00A002A3"/>
    <w:pPr>
      <w:spacing w:before="100" w:beforeAutospacing="1" w:after="100" w:afterAutospacing="1"/>
    </w:pPr>
    <w:rPr>
      <w:rFonts w:ascii="Times New Roman" w:eastAsia="Times New Roman" w:hAnsi="Times New Roman" w:cs="Times New Roman"/>
      <w:lang w:eastAsia="es-ES"/>
    </w:rPr>
  </w:style>
  <w:style w:type="character" w:styleId="Refdecomentario">
    <w:name w:val="annotation reference"/>
    <w:basedOn w:val="Fuentedeprrafopredeter"/>
    <w:uiPriority w:val="99"/>
    <w:semiHidden/>
    <w:unhideWhenUsed/>
    <w:rsid w:val="00A002A3"/>
    <w:rPr>
      <w:sz w:val="18"/>
      <w:szCs w:val="18"/>
    </w:rPr>
  </w:style>
  <w:style w:type="character" w:styleId="Textodelmarcadordeposicin">
    <w:name w:val="Placeholder Text"/>
    <w:basedOn w:val="Fuentedeprrafopredeter"/>
    <w:uiPriority w:val="99"/>
    <w:semiHidden/>
    <w:rsid w:val="00A002A3"/>
    <w:rPr>
      <w:color w:val="808080"/>
    </w:rPr>
  </w:style>
  <w:style w:type="character" w:styleId="nfasisintenso">
    <w:name w:val="Intense Emphasis"/>
    <w:basedOn w:val="Fuentedeprrafopredeter"/>
    <w:uiPriority w:val="21"/>
    <w:qFormat/>
    <w:rsid w:val="00A002A3"/>
    <w:rPr>
      <w:b/>
      <w:bCs/>
      <w:i/>
      <w:iCs/>
      <w:color w:val="4472C4" w:themeColor="accent1"/>
    </w:rPr>
  </w:style>
  <w:style w:type="character" w:customStyle="1" w:styleId="Ttulo7Car1">
    <w:name w:val="Título 7 Car1"/>
    <w:basedOn w:val="Fuentedeprrafopredeter"/>
    <w:uiPriority w:val="9"/>
    <w:semiHidden/>
    <w:rsid w:val="00A002A3"/>
    <w:rPr>
      <w:rFonts w:asciiTheme="majorHAnsi" w:eastAsiaTheme="majorEastAsia" w:hAnsiTheme="majorHAnsi" w:cstheme="majorBidi"/>
      <w:i/>
      <w:iCs/>
      <w:color w:val="1F3763" w:themeColor="accent1" w:themeShade="7F"/>
      <w:sz w:val="24"/>
      <w:szCs w:val="24"/>
    </w:rPr>
  </w:style>
  <w:style w:type="character" w:customStyle="1" w:styleId="Ttulo8Car1">
    <w:name w:val="Título 8 Car1"/>
    <w:basedOn w:val="Fuentedeprrafopredeter"/>
    <w:uiPriority w:val="9"/>
    <w:semiHidden/>
    <w:rsid w:val="00A002A3"/>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A002A3"/>
    <w:rPr>
      <w:rFonts w:asciiTheme="majorHAnsi" w:eastAsiaTheme="majorEastAsia" w:hAnsiTheme="majorHAnsi" w:cstheme="majorBidi"/>
      <w:i/>
      <w:iCs/>
      <w:color w:val="272727" w:themeColor="text1" w:themeTint="D8"/>
      <w:sz w:val="21"/>
      <w:szCs w:val="21"/>
    </w:rPr>
  </w:style>
  <w:style w:type="character" w:customStyle="1" w:styleId="EncabezadoCar1">
    <w:name w:val="Encabezado Car1"/>
    <w:basedOn w:val="Fuentedeprrafopredeter"/>
    <w:uiPriority w:val="99"/>
    <w:semiHidden/>
    <w:rsid w:val="00A002A3"/>
    <w:rPr>
      <w:rFonts w:ascii="Times New Roman" w:eastAsia="Times New Roman" w:hAnsi="Times New Roman" w:cs="Times New Roman"/>
      <w:sz w:val="24"/>
      <w:szCs w:val="24"/>
      <w:lang w:eastAsia="es-MX"/>
    </w:rPr>
  </w:style>
  <w:style w:type="character" w:customStyle="1" w:styleId="PiedepginaCar1">
    <w:name w:val="Pie de página Car1"/>
    <w:basedOn w:val="Fuentedeprrafopredeter"/>
    <w:uiPriority w:val="99"/>
    <w:semiHidden/>
    <w:rsid w:val="00A002A3"/>
    <w:rPr>
      <w:rFonts w:ascii="Times New Roman" w:eastAsia="Times New Roman" w:hAnsi="Times New Roman" w:cs="Times New Roman"/>
      <w:sz w:val="24"/>
      <w:szCs w:val="24"/>
      <w:lang w:eastAsia="es-MX"/>
    </w:rPr>
  </w:style>
  <w:style w:type="paragraph" w:styleId="Textoindependiente3">
    <w:name w:val="Body Text 3"/>
    <w:basedOn w:val="Normal"/>
    <w:link w:val="Textoindependiente3Car"/>
    <w:uiPriority w:val="99"/>
    <w:semiHidden/>
    <w:unhideWhenUsed/>
    <w:rsid w:val="00A002A3"/>
    <w:pPr>
      <w:jc w:val="both"/>
    </w:pPr>
    <w:rPr>
      <w:rFonts w:ascii="Arial" w:eastAsia="Times New Roman" w:hAnsi="Arial" w:cs="Arial"/>
      <w:b/>
      <w:bCs/>
      <w:lang w:val="es-MX"/>
    </w:rPr>
  </w:style>
  <w:style w:type="character" w:customStyle="1" w:styleId="Textoindependiente3Car1">
    <w:name w:val="Texto independiente 3 Car1"/>
    <w:basedOn w:val="Fuentedeprrafopredeter"/>
    <w:semiHidden/>
    <w:rsid w:val="00A002A3"/>
    <w:rPr>
      <w:rFonts w:eastAsiaTheme="minorEastAsia"/>
      <w:sz w:val="16"/>
      <w:szCs w:val="16"/>
      <w:lang w:val="es-ES"/>
    </w:rPr>
  </w:style>
  <w:style w:type="character" w:customStyle="1" w:styleId="TextodegloboCar1">
    <w:name w:val="Texto de globo Car1"/>
    <w:basedOn w:val="Fuentedeprrafopredeter"/>
    <w:uiPriority w:val="99"/>
    <w:semiHidden/>
    <w:rsid w:val="00A002A3"/>
    <w:rPr>
      <w:rFonts w:ascii="Segoe UI" w:eastAsia="Times New Roman" w:hAnsi="Segoe UI" w:cs="Segoe UI"/>
      <w:sz w:val="18"/>
      <w:szCs w:val="18"/>
      <w:lang w:eastAsia="es-MX"/>
    </w:rPr>
  </w:style>
  <w:style w:type="character" w:customStyle="1" w:styleId="TextoindependienteCar1">
    <w:name w:val="Texto independiente Car1"/>
    <w:basedOn w:val="Fuentedeprrafopredeter"/>
    <w:uiPriority w:val="99"/>
    <w:semiHidden/>
    <w:rsid w:val="00A002A3"/>
    <w:rPr>
      <w:rFonts w:ascii="Times New Roman" w:eastAsia="Times New Roman" w:hAnsi="Times New Roman" w:cs="Times New Roman"/>
      <w:sz w:val="24"/>
      <w:szCs w:val="24"/>
      <w:lang w:eastAsia="es-MX"/>
    </w:rPr>
  </w:style>
  <w:style w:type="paragraph" w:styleId="Asuntodelcomentario">
    <w:name w:val="annotation subject"/>
    <w:basedOn w:val="Textocomentario"/>
    <w:next w:val="Textocomentario"/>
    <w:link w:val="AsuntodelcomentarioCar"/>
    <w:uiPriority w:val="99"/>
    <w:semiHidden/>
    <w:unhideWhenUsed/>
    <w:rsid w:val="00A002A3"/>
    <w:rPr>
      <w:b/>
      <w:bCs/>
    </w:rPr>
  </w:style>
  <w:style w:type="character" w:customStyle="1" w:styleId="AsuntodelcomentarioCar1">
    <w:name w:val="Asunto del comentario Car1"/>
    <w:basedOn w:val="TextocomentarioCar1"/>
    <w:uiPriority w:val="99"/>
    <w:semiHidden/>
    <w:rsid w:val="00A002A3"/>
    <w:rPr>
      <w:rFonts w:eastAsiaTheme="minorEastAsia"/>
      <w:b/>
      <w:bCs/>
      <w:sz w:val="20"/>
      <w:szCs w:val="20"/>
      <w:lang w:val="es-ES"/>
    </w:rPr>
  </w:style>
  <w:style w:type="character" w:customStyle="1" w:styleId="A2">
    <w:name w:val="A2"/>
    <w:uiPriority w:val="99"/>
    <w:rsid w:val="00A002A3"/>
    <w:rPr>
      <w:rFonts w:ascii="Palatino" w:hAnsi="Palatino" w:cs="Palatino" w:hint="default"/>
      <w:b/>
      <w:bCs/>
      <w:color w:val="000000"/>
      <w:sz w:val="28"/>
      <w:szCs w:val="28"/>
    </w:rPr>
  </w:style>
  <w:style w:type="paragraph" w:styleId="Sinespaciado">
    <w:name w:val="No Spacing"/>
    <w:link w:val="SinespaciadoCar"/>
    <w:uiPriority w:val="1"/>
    <w:qFormat/>
    <w:rsid w:val="00A002A3"/>
  </w:style>
  <w:style w:type="paragraph" w:styleId="Sangra2detindependiente">
    <w:name w:val="Body Text Indent 2"/>
    <w:basedOn w:val="Normal"/>
    <w:link w:val="Sangra2detindependienteCar"/>
    <w:uiPriority w:val="99"/>
    <w:semiHidden/>
    <w:unhideWhenUsed/>
    <w:rsid w:val="00A002A3"/>
    <w:pPr>
      <w:spacing w:after="120" w:line="480" w:lineRule="auto"/>
      <w:ind w:left="283"/>
    </w:pPr>
    <w:rPr>
      <w:lang w:val="es-ES_tradnl"/>
    </w:rPr>
  </w:style>
  <w:style w:type="character" w:customStyle="1" w:styleId="Sangra2detindependienteCar1">
    <w:name w:val="Sangría 2 de t. independiente Car1"/>
    <w:basedOn w:val="Fuentedeprrafopredeter"/>
    <w:uiPriority w:val="99"/>
    <w:semiHidden/>
    <w:rsid w:val="00A002A3"/>
    <w:rPr>
      <w:rFonts w:eastAsiaTheme="minorEastAsia"/>
      <w:lang w:val="es-ES"/>
    </w:rPr>
  </w:style>
  <w:style w:type="character" w:customStyle="1" w:styleId="A3">
    <w:name w:val="A3"/>
    <w:uiPriority w:val="99"/>
    <w:rsid w:val="00A002A3"/>
    <w:rPr>
      <w:color w:val="000000"/>
      <w:sz w:val="16"/>
      <w:szCs w:val="16"/>
    </w:rPr>
  </w:style>
  <w:style w:type="character" w:customStyle="1" w:styleId="feettxt">
    <w:name w:val=".feet_txt"/>
    <w:uiPriority w:val="99"/>
    <w:rsid w:val="00A002A3"/>
    <w:rPr>
      <w:rFonts w:ascii="Soberana Sans Light" w:hAnsi="Soberana Sans Light" w:cs="Soberana Sans Light" w:hint="default"/>
      <w:b/>
      <w:bCs/>
      <w:color w:val="C4151C"/>
      <w:spacing w:val="0"/>
      <w:sz w:val="20"/>
      <w:szCs w:val="20"/>
      <w:lang w:val="es-ES_tradnl"/>
    </w:rPr>
  </w:style>
  <w:style w:type="paragraph" w:styleId="Fecha">
    <w:name w:val="Date"/>
    <w:basedOn w:val="Normal"/>
    <w:next w:val="Normal"/>
    <w:link w:val="FechaCar"/>
    <w:uiPriority w:val="99"/>
    <w:semiHidden/>
    <w:unhideWhenUsed/>
    <w:rsid w:val="00A002A3"/>
    <w:rPr>
      <w:lang w:val="es-ES_tradnl"/>
    </w:rPr>
  </w:style>
  <w:style w:type="character" w:customStyle="1" w:styleId="FechaCar1">
    <w:name w:val="Fecha Car1"/>
    <w:basedOn w:val="Fuentedeprrafopredeter"/>
    <w:uiPriority w:val="99"/>
    <w:semiHidden/>
    <w:rsid w:val="00A002A3"/>
    <w:rPr>
      <w:rFonts w:eastAsiaTheme="minorEastAsia"/>
      <w:lang w:val="es-ES"/>
    </w:rPr>
  </w:style>
  <w:style w:type="paragraph" w:styleId="Textoindependiente2">
    <w:name w:val="Body Text 2"/>
    <w:basedOn w:val="Normal"/>
    <w:link w:val="Textoindependiente2Car"/>
    <w:semiHidden/>
    <w:unhideWhenUsed/>
    <w:rsid w:val="00A002A3"/>
    <w:pPr>
      <w:tabs>
        <w:tab w:val="left" w:pos="0"/>
      </w:tabs>
      <w:jc w:val="both"/>
    </w:pPr>
    <w:rPr>
      <w:rFonts w:ascii="Arial" w:eastAsia="Times New Roman" w:hAnsi="Arial" w:cs="Arial"/>
      <w:lang w:val="es-ES_tradnl" w:eastAsia="es-ES"/>
    </w:rPr>
  </w:style>
  <w:style w:type="character" w:customStyle="1" w:styleId="Textoindependiente2Car1">
    <w:name w:val="Texto independiente 2 Car1"/>
    <w:basedOn w:val="Fuentedeprrafopredeter"/>
    <w:semiHidden/>
    <w:rsid w:val="00A002A3"/>
    <w:rPr>
      <w:rFonts w:eastAsiaTheme="minorEastAsia"/>
      <w:lang w:val="es-ES"/>
    </w:rPr>
  </w:style>
  <w:style w:type="paragraph" w:styleId="Sangradetextonormal">
    <w:name w:val="Body Text Indent"/>
    <w:basedOn w:val="Normal"/>
    <w:link w:val="SangradetextonormalCar"/>
    <w:semiHidden/>
    <w:unhideWhenUsed/>
    <w:rsid w:val="00A002A3"/>
    <w:pPr>
      <w:ind w:left="993" w:hanging="993"/>
      <w:jc w:val="both"/>
    </w:pPr>
    <w:rPr>
      <w:rFonts w:ascii="Arial" w:eastAsia="Times New Roman" w:hAnsi="Arial" w:cs="Arial"/>
      <w:lang w:val="es-ES_tradnl" w:eastAsia="es-ES"/>
    </w:rPr>
  </w:style>
  <w:style w:type="character" w:customStyle="1" w:styleId="SangradetextonormalCar1">
    <w:name w:val="Sangría de texto normal Car1"/>
    <w:basedOn w:val="Fuentedeprrafopredeter"/>
    <w:semiHidden/>
    <w:rsid w:val="00A002A3"/>
    <w:rPr>
      <w:rFonts w:eastAsiaTheme="minorEastAsia"/>
      <w:lang w:val="es-ES"/>
    </w:rPr>
  </w:style>
  <w:style w:type="paragraph" w:styleId="Subttulo">
    <w:name w:val="Subtitle"/>
    <w:basedOn w:val="Ttulo"/>
    <w:next w:val="Normal"/>
    <w:link w:val="SubttuloCar"/>
    <w:uiPriority w:val="11"/>
    <w:qFormat/>
    <w:rsid w:val="00A002A3"/>
    <w:pPr>
      <w:jc w:val="left"/>
    </w:pPr>
  </w:style>
  <w:style w:type="character" w:customStyle="1" w:styleId="SubttuloCar1">
    <w:name w:val="Subtítulo Car1"/>
    <w:basedOn w:val="Fuentedeprrafopredeter"/>
    <w:uiPriority w:val="11"/>
    <w:rsid w:val="00A002A3"/>
    <w:rPr>
      <w:rFonts w:eastAsiaTheme="minorEastAsia"/>
      <w:color w:val="5A5A5A" w:themeColor="text1" w:themeTint="A5"/>
      <w:spacing w:val="15"/>
      <w:sz w:val="22"/>
      <w:szCs w:val="22"/>
      <w:lang w:val="es-ES"/>
    </w:rPr>
  </w:style>
  <w:style w:type="character" w:customStyle="1" w:styleId="Hipervnculovisitado1">
    <w:name w:val="Hipervínculo visitado1"/>
    <w:basedOn w:val="Fuentedeprrafopredeter"/>
    <w:uiPriority w:val="99"/>
    <w:semiHidden/>
    <w:rsid w:val="00A002A3"/>
    <w:rPr>
      <w:color w:val="800080"/>
      <w:u w:val="single"/>
    </w:rPr>
  </w:style>
  <w:style w:type="paragraph" w:styleId="Textosinformato">
    <w:name w:val="Plain Text"/>
    <w:basedOn w:val="Normal"/>
    <w:link w:val="TextosinformatoCar"/>
    <w:semiHidden/>
    <w:unhideWhenUsed/>
    <w:rsid w:val="00A002A3"/>
    <w:rPr>
      <w:rFonts w:ascii="Courier New" w:eastAsia="Times New Roman" w:hAnsi="Courier New" w:cs="Courier New"/>
      <w:lang w:val="es-MX" w:eastAsia="es-ES"/>
    </w:rPr>
  </w:style>
  <w:style w:type="character" w:customStyle="1" w:styleId="TextosinformatoCar1">
    <w:name w:val="Texto sin formato Car1"/>
    <w:basedOn w:val="Fuentedeprrafopredeter"/>
    <w:semiHidden/>
    <w:rsid w:val="00A002A3"/>
    <w:rPr>
      <w:rFonts w:ascii="Consolas" w:eastAsiaTheme="minorEastAsia" w:hAnsi="Consolas"/>
      <w:sz w:val="21"/>
      <w:szCs w:val="21"/>
      <w:lang w:val="es-ES"/>
    </w:rPr>
  </w:style>
  <w:style w:type="character" w:customStyle="1" w:styleId="negritas">
    <w:name w:val="negritas"/>
    <w:rsid w:val="00A002A3"/>
    <w:rPr>
      <w:rFonts w:ascii="Times New Roman" w:hAnsi="Times New Roman" w:cs="Times New Roman" w:hint="default"/>
    </w:rPr>
  </w:style>
  <w:style w:type="table" w:styleId="Sombreadoclaro">
    <w:name w:val="Light Shading"/>
    <w:basedOn w:val="Tablanormal"/>
    <w:uiPriority w:val="60"/>
    <w:semiHidden/>
    <w:unhideWhenUsed/>
    <w:rsid w:val="00A002A3"/>
    <w:rPr>
      <w:rFonts w:eastAsiaTheme="minorEastAsia"/>
      <w:color w:val="000000" w:themeColor="text1" w:themeShade="BF"/>
      <w:lang w:val="es-ES_tradnl"/>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semiHidden/>
    <w:unhideWhenUsed/>
    <w:rsid w:val="00A002A3"/>
    <w:rPr>
      <w:rFonts w:ascii="Calibri" w:eastAsia="Calibri" w:hAnsi="Calibri" w:cs="Times New Roman"/>
      <w:color w:val="2F5496" w:themeColor="accent1" w:themeShade="BF"/>
      <w:sz w:val="20"/>
      <w:szCs w:val="20"/>
      <w:lang w:eastAsia="es-MX"/>
    </w:rPr>
    <w:tblPr>
      <w:tblStyleRowBandSize w:val="1"/>
      <w:tblStyleColBandSize w:val="1"/>
      <w:tblInd w:w="0" w:type="nil"/>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staclara-nfasis1">
    <w:name w:val="Light List Accent 1"/>
    <w:basedOn w:val="Tablanormal"/>
    <w:uiPriority w:val="61"/>
    <w:semiHidden/>
    <w:unhideWhenUsed/>
    <w:rsid w:val="00A002A3"/>
    <w:rPr>
      <w:rFonts w:ascii="Arial" w:eastAsiaTheme="minorEastAsia" w:hAnsi="Arial"/>
      <w:sz w:val="22"/>
      <w:szCs w:val="22"/>
      <w:lang w:val="es-ES_tradnl"/>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Cuadrculaclara-nfasis1">
    <w:name w:val="Light Grid Accent 1"/>
    <w:basedOn w:val="Tablanormal"/>
    <w:uiPriority w:val="62"/>
    <w:semiHidden/>
    <w:unhideWhenUsed/>
    <w:rsid w:val="00A002A3"/>
    <w:rPr>
      <w:rFonts w:ascii="Calibri" w:eastAsia="Calibri" w:hAnsi="Calibri" w:cs="Times New Roman"/>
      <w:sz w:val="20"/>
      <w:szCs w:val="20"/>
      <w:lang w:eastAsia="es-MX"/>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Sombreadomedio1-nfasis6">
    <w:name w:val="Medium Shading 1 Accent 6"/>
    <w:basedOn w:val="Tablanormal"/>
    <w:uiPriority w:val="63"/>
    <w:semiHidden/>
    <w:unhideWhenUsed/>
    <w:rsid w:val="00A002A3"/>
    <w:rPr>
      <w:rFonts w:eastAsiaTheme="minorEastAsia"/>
      <w:lang w:val="es-ES_tradnl"/>
    </w:rPr>
    <w:tblPr>
      <w:tblStyleRowBandSize w:val="1"/>
      <w:tblStyleColBandSize w:val="1"/>
      <w:tblInd w:w="0" w:type="nil"/>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customStyle="1" w:styleId="Tablaconcuadrcula1">
    <w:name w:val="Tabla con cuadrícula1"/>
    <w:basedOn w:val="Tablanormal"/>
    <w:rsid w:val="00A002A3"/>
    <w:rPr>
      <w:rFonts w:eastAsiaTheme="minorEastAsia"/>
      <w:lang w:val="es-ES_trad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uiPriority w:val="60"/>
    <w:rsid w:val="00A002A3"/>
    <w:rPr>
      <w:rFonts w:ascii="Calibri" w:eastAsia="Calibri" w:hAnsi="Calibri" w:cs="Times New Roman"/>
      <w:color w:val="365F91"/>
      <w:sz w:val="20"/>
      <w:szCs w:val="20"/>
      <w:lang w:eastAsia="es-MX"/>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uadrculaclara-nfasis11">
    <w:name w:val="Cuadrícula clara - Énfasis 11"/>
    <w:basedOn w:val="Tablanormal"/>
    <w:uiPriority w:val="62"/>
    <w:rsid w:val="00A002A3"/>
    <w:rPr>
      <w:rFonts w:ascii="Calibri" w:eastAsia="Calibri" w:hAnsi="Calibri" w:cs="Times New Roman"/>
      <w:sz w:val="20"/>
      <w:szCs w:val="20"/>
      <w:lang w:eastAsia="es-MX"/>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MS Gothic"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MS Gothic"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MS Gothic" w:hAnsi="Tahoma" w:cs="Times New Roman" w:hint="default"/>
        <w:b/>
        <w:bCs/>
      </w:rPr>
    </w:tblStylePr>
    <w:tblStylePr w:type="lastCol">
      <w:rPr>
        <w:rFonts w:ascii="Tahoma" w:eastAsia="MS Gothic"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TDC1">
    <w:name w:val="toc 1"/>
    <w:basedOn w:val="Normal"/>
    <w:next w:val="Normal"/>
    <w:autoRedefine/>
    <w:uiPriority w:val="39"/>
    <w:unhideWhenUsed/>
    <w:qFormat/>
    <w:rsid w:val="00A002A3"/>
    <w:pPr>
      <w:tabs>
        <w:tab w:val="right" w:leader="dot" w:pos="9962"/>
      </w:tabs>
      <w:spacing w:before="120" w:after="180"/>
      <w:ind w:left="851" w:hanging="423"/>
      <w:jc w:val="both"/>
    </w:pPr>
    <w:rPr>
      <w:rFonts w:ascii="Montserrat" w:eastAsia="MS Gothic" w:hAnsi="Montserrat" w:cs="Arial"/>
      <w:bCs/>
      <w:i/>
      <w:iCs/>
      <w:noProof/>
      <w:sz w:val="20"/>
      <w:szCs w:val="20"/>
      <w:lang w:val="es-MX" w:eastAsia="es-MX"/>
    </w:rPr>
  </w:style>
  <w:style w:type="paragraph" w:styleId="TDC2">
    <w:name w:val="toc 2"/>
    <w:basedOn w:val="Normal"/>
    <w:next w:val="Normal"/>
    <w:autoRedefine/>
    <w:uiPriority w:val="39"/>
    <w:unhideWhenUsed/>
    <w:qFormat/>
    <w:rsid w:val="00A002A3"/>
    <w:pPr>
      <w:tabs>
        <w:tab w:val="left" w:pos="1200"/>
        <w:tab w:val="right" w:leader="dot" w:pos="9962"/>
      </w:tabs>
      <w:spacing w:before="120" w:after="180"/>
      <w:ind w:left="240"/>
      <w:jc w:val="both"/>
    </w:pPr>
    <w:rPr>
      <w:rFonts w:ascii="Montserrat" w:eastAsia="MS Gothic" w:hAnsi="Montserrat" w:cs="Arial"/>
      <w:noProof/>
      <w:sz w:val="22"/>
      <w:szCs w:val="22"/>
      <w:lang w:val="es-MX" w:eastAsia="es-MX"/>
    </w:rPr>
  </w:style>
  <w:style w:type="paragraph" w:styleId="TDC3">
    <w:name w:val="toc 3"/>
    <w:basedOn w:val="Normal"/>
    <w:next w:val="Normal"/>
    <w:autoRedefine/>
    <w:uiPriority w:val="39"/>
    <w:unhideWhenUsed/>
    <w:qFormat/>
    <w:rsid w:val="00A002A3"/>
    <w:pPr>
      <w:spacing w:after="180"/>
      <w:ind w:left="480"/>
      <w:jc w:val="both"/>
    </w:pPr>
    <w:rPr>
      <w:rFonts w:eastAsia="MS Mincho" w:cs="Times New Roman"/>
      <w:sz w:val="20"/>
      <w:szCs w:val="20"/>
      <w:lang w:val="es-ES_tradnl" w:eastAsia="es-MX"/>
    </w:rPr>
  </w:style>
  <w:style w:type="paragraph" w:styleId="TDC4">
    <w:name w:val="toc 4"/>
    <w:basedOn w:val="Normal"/>
    <w:next w:val="Normal"/>
    <w:autoRedefine/>
    <w:uiPriority w:val="39"/>
    <w:semiHidden/>
    <w:unhideWhenUsed/>
    <w:rsid w:val="00A002A3"/>
    <w:pPr>
      <w:spacing w:after="180"/>
      <w:ind w:left="720"/>
      <w:jc w:val="both"/>
    </w:pPr>
    <w:rPr>
      <w:rFonts w:eastAsia="MS Mincho" w:cs="Times New Roman"/>
      <w:sz w:val="20"/>
      <w:szCs w:val="20"/>
      <w:lang w:val="es-ES_tradnl" w:eastAsia="es-MX"/>
    </w:rPr>
  </w:style>
  <w:style w:type="paragraph" w:styleId="TDC5">
    <w:name w:val="toc 5"/>
    <w:basedOn w:val="Normal"/>
    <w:next w:val="Normal"/>
    <w:autoRedefine/>
    <w:uiPriority w:val="39"/>
    <w:semiHidden/>
    <w:unhideWhenUsed/>
    <w:rsid w:val="00A002A3"/>
    <w:pPr>
      <w:spacing w:after="180"/>
      <w:ind w:left="960"/>
      <w:jc w:val="both"/>
    </w:pPr>
    <w:rPr>
      <w:rFonts w:eastAsia="MS Mincho" w:cs="Times New Roman"/>
      <w:sz w:val="20"/>
      <w:szCs w:val="20"/>
      <w:lang w:val="es-ES_tradnl" w:eastAsia="es-MX"/>
    </w:rPr>
  </w:style>
  <w:style w:type="paragraph" w:styleId="TDC6">
    <w:name w:val="toc 6"/>
    <w:basedOn w:val="Normal"/>
    <w:next w:val="Normal"/>
    <w:autoRedefine/>
    <w:uiPriority w:val="39"/>
    <w:semiHidden/>
    <w:unhideWhenUsed/>
    <w:rsid w:val="00A002A3"/>
    <w:pPr>
      <w:spacing w:after="180"/>
      <w:ind w:left="1200"/>
      <w:jc w:val="both"/>
    </w:pPr>
    <w:rPr>
      <w:rFonts w:eastAsia="MS Mincho" w:cs="Times New Roman"/>
      <w:sz w:val="20"/>
      <w:szCs w:val="20"/>
      <w:lang w:val="es-ES_tradnl" w:eastAsia="es-MX"/>
    </w:rPr>
  </w:style>
  <w:style w:type="paragraph" w:styleId="TDC7">
    <w:name w:val="toc 7"/>
    <w:basedOn w:val="Normal"/>
    <w:next w:val="Normal"/>
    <w:autoRedefine/>
    <w:uiPriority w:val="39"/>
    <w:semiHidden/>
    <w:unhideWhenUsed/>
    <w:rsid w:val="00A002A3"/>
    <w:pPr>
      <w:spacing w:after="180"/>
      <w:ind w:left="1440"/>
      <w:jc w:val="both"/>
    </w:pPr>
    <w:rPr>
      <w:rFonts w:eastAsia="MS Mincho" w:cs="Times New Roman"/>
      <w:sz w:val="20"/>
      <w:szCs w:val="20"/>
      <w:lang w:val="es-ES_tradnl" w:eastAsia="es-MX"/>
    </w:rPr>
  </w:style>
  <w:style w:type="paragraph" w:styleId="TDC8">
    <w:name w:val="toc 8"/>
    <w:basedOn w:val="Normal"/>
    <w:next w:val="Normal"/>
    <w:autoRedefine/>
    <w:uiPriority w:val="39"/>
    <w:semiHidden/>
    <w:unhideWhenUsed/>
    <w:rsid w:val="00A002A3"/>
    <w:pPr>
      <w:spacing w:after="180"/>
      <w:ind w:left="1680"/>
      <w:jc w:val="both"/>
    </w:pPr>
    <w:rPr>
      <w:rFonts w:eastAsia="MS Mincho" w:cs="Times New Roman"/>
      <w:sz w:val="20"/>
      <w:szCs w:val="20"/>
      <w:lang w:val="es-ES_tradnl" w:eastAsia="es-MX"/>
    </w:rPr>
  </w:style>
  <w:style w:type="paragraph" w:styleId="TDC9">
    <w:name w:val="toc 9"/>
    <w:basedOn w:val="Normal"/>
    <w:next w:val="Normal"/>
    <w:autoRedefine/>
    <w:uiPriority w:val="39"/>
    <w:semiHidden/>
    <w:unhideWhenUsed/>
    <w:rsid w:val="00A002A3"/>
    <w:pPr>
      <w:spacing w:after="180"/>
      <w:ind w:left="1920"/>
      <w:jc w:val="both"/>
    </w:pPr>
    <w:rPr>
      <w:rFonts w:eastAsia="MS Mincho" w:cs="Times New Roman"/>
      <w:sz w:val="20"/>
      <w:szCs w:val="20"/>
      <w:lang w:val="es-ES_tradnl" w:eastAsia="es-MX"/>
    </w:rPr>
  </w:style>
  <w:style w:type="paragraph" w:styleId="Listaconvietas">
    <w:name w:val="List Bullet"/>
    <w:basedOn w:val="Normal"/>
    <w:uiPriority w:val="99"/>
    <w:semiHidden/>
    <w:unhideWhenUsed/>
    <w:rsid w:val="00A002A3"/>
    <w:pPr>
      <w:numPr>
        <w:numId w:val="1"/>
      </w:numPr>
      <w:tabs>
        <w:tab w:val="clear" w:pos="360"/>
        <w:tab w:val="num" w:pos="720"/>
        <w:tab w:val="num" w:pos="1080"/>
      </w:tabs>
      <w:jc w:val="both"/>
    </w:pPr>
    <w:rPr>
      <w:rFonts w:ascii="Book Antiqua" w:eastAsia="Calibri" w:hAnsi="Book Antiqua" w:cs="Times New Roman"/>
      <w:lang w:val="es-MX" w:eastAsia="es-ES"/>
    </w:rPr>
  </w:style>
  <w:style w:type="paragraph" w:styleId="Listaconnmeros2">
    <w:name w:val="List Number 2"/>
    <w:basedOn w:val="Normal"/>
    <w:semiHidden/>
    <w:unhideWhenUsed/>
    <w:rsid w:val="00A002A3"/>
    <w:pPr>
      <w:numPr>
        <w:numId w:val="2"/>
      </w:numPr>
      <w:contextualSpacing/>
      <w:jc w:val="both"/>
    </w:pPr>
    <w:rPr>
      <w:rFonts w:ascii="Times New Roman" w:eastAsia="Times New Roman" w:hAnsi="Times New Roman" w:cs="Times New Roman"/>
      <w:lang w:eastAsia="es-ES"/>
    </w:rPr>
  </w:style>
  <w:style w:type="paragraph" w:styleId="Textodebloque">
    <w:name w:val="Block Text"/>
    <w:basedOn w:val="Normal"/>
    <w:semiHidden/>
    <w:unhideWhenUsed/>
    <w:rsid w:val="00A002A3"/>
    <w:pPr>
      <w:tabs>
        <w:tab w:val="left" w:pos="426"/>
      </w:tabs>
      <w:autoSpaceDE w:val="0"/>
      <w:autoSpaceDN w:val="0"/>
      <w:ind w:left="426" w:right="-659"/>
      <w:jc w:val="both"/>
    </w:pPr>
    <w:rPr>
      <w:rFonts w:ascii="Times New Roman" w:eastAsia="Times New Roman" w:hAnsi="Times New Roman" w:cs="Times New Roman"/>
      <w:sz w:val="20"/>
      <w:lang w:val="es-ES_tradnl" w:eastAsia="es-ES"/>
    </w:rPr>
  </w:style>
  <w:style w:type="paragraph" w:styleId="TtuloTDC">
    <w:name w:val="TOC Heading"/>
    <w:basedOn w:val="Ttulo1"/>
    <w:next w:val="Normal"/>
    <w:uiPriority w:val="39"/>
    <w:semiHidden/>
    <w:unhideWhenUsed/>
    <w:qFormat/>
    <w:rsid w:val="00A002A3"/>
    <w:pPr>
      <w:spacing w:after="180" w:line="276" w:lineRule="auto"/>
      <w:ind w:left="284" w:hanging="284"/>
      <w:jc w:val="both"/>
      <w:outlineLvl w:val="9"/>
    </w:pPr>
    <w:rPr>
      <w:rFonts w:ascii="Calibri" w:hAnsi="Calibri"/>
      <w:b/>
      <w:bCs/>
      <w:caps/>
      <w:color w:val="auto"/>
      <w:sz w:val="24"/>
      <w:szCs w:val="28"/>
      <w:lang w:val="es-MX"/>
    </w:rPr>
  </w:style>
  <w:style w:type="numbering" w:customStyle="1" w:styleId="Estilo81">
    <w:name w:val="Estilo81"/>
    <w:uiPriority w:val="99"/>
    <w:rsid w:val="00A002A3"/>
    <w:pPr>
      <w:numPr>
        <w:numId w:val="3"/>
      </w:numPr>
    </w:pPr>
  </w:style>
  <w:style w:type="numbering" w:customStyle="1" w:styleId="Estilo8">
    <w:name w:val="Estilo8"/>
    <w:rsid w:val="00A002A3"/>
    <w:pPr>
      <w:numPr>
        <w:numId w:val="4"/>
      </w:numPr>
    </w:pPr>
  </w:style>
  <w:style w:type="numbering" w:customStyle="1" w:styleId="Estilo5">
    <w:name w:val="Estilo5"/>
    <w:uiPriority w:val="99"/>
    <w:rsid w:val="00A002A3"/>
    <w:pPr>
      <w:numPr>
        <w:numId w:val="5"/>
      </w:numPr>
    </w:pPr>
  </w:style>
  <w:style w:type="numbering" w:customStyle="1" w:styleId="Estilo3">
    <w:name w:val="Estilo3"/>
    <w:uiPriority w:val="99"/>
    <w:rsid w:val="00A002A3"/>
    <w:pPr>
      <w:numPr>
        <w:numId w:val="6"/>
      </w:numPr>
    </w:pPr>
  </w:style>
  <w:style w:type="numbering" w:customStyle="1" w:styleId="Estilo1">
    <w:name w:val="Estilo1"/>
    <w:uiPriority w:val="99"/>
    <w:rsid w:val="00A002A3"/>
    <w:pPr>
      <w:numPr>
        <w:numId w:val="7"/>
      </w:numPr>
    </w:pPr>
  </w:style>
  <w:style w:type="numbering" w:customStyle="1" w:styleId="Estilo31">
    <w:name w:val="Estilo31"/>
    <w:uiPriority w:val="99"/>
    <w:rsid w:val="00A002A3"/>
    <w:pPr>
      <w:numPr>
        <w:numId w:val="8"/>
      </w:numPr>
    </w:pPr>
  </w:style>
  <w:style w:type="numbering" w:customStyle="1" w:styleId="Estilo11">
    <w:name w:val="Estilo11"/>
    <w:uiPriority w:val="99"/>
    <w:rsid w:val="00A002A3"/>
    <w:pPr>
      <w:numPr>
        <w:numId w:val="9"/>
      </w:numPr>
    </w:pPr>
  </w:style>
  <w:style w:type="numbering" w:customStyle="1" w:styleId="Estilo4">
    <w:name w:val="Estilo4"/>
    <w:uiPriority w:val="99"/>
    <w:rsid w:val="00A002A3"/>
    <w:pPr>
      <w:numPr>
        <w:numId w:val="10"/>
      </w:numPr>
    </w:pPr>
  </w:style>
  <w:style w:type="numbering" w:customStyle="1" w:styleId="Estilo21">
    <w:name w:val="Estilo21"/>
    <w:uiPriority w:val="99"/>
    <w:rsid w:val="00A002A3"/>
    <w:pPr>
      <w:numPr>
        <w:numId w:val="11"/>
      </w:numPr>
    </w:pPr>
  </w:style>
  <w:style w:type="numbering" w:customStyle="1" w:styleId="Estilo2">
    <w:name w:val="Estilo2"/>
    <w:uiPriority w:val="99"/>
    <w:rsid w:val="00A002A3"/>
    <w:pPr>
      <w:numPr>
        <w:numId w:val="12"/>
      </w:numPr>
    </w:pPr>
  </w:style>
  <w:style w:type="numbering" w:customStyle="1" w:styleId="Estilo7">
    <w:name w:val="Estilo7"/>
    <w:uiPriority w:val="99"/>
    <w:rsid w:val="00A002A3"/>
    <w:pPr>
      <w:numPr>
        <w:numId w:val="13"/>
      </w:numPr>
    </w:pPr>
  </w:style>
  <w:style w:type="numbering" w:customStyle="1" w:styleId="Estilo41">
    <w:name w:val="Estilo41"/>
    <w:uiPriority w:val="99"/>
    <w:rsid w:val="00A002A3"/>
    <w:pPr>
      <w:numPr>
        <w:numId w:val="14"/>
      </w:numPr>
    </w:pPr>
  </w:style>
  <w:style w:type="numbering" w:customStyle="1" w:styleId="Estilo51">
    <w:name w:val="Estilo51"/>
    <w:uiPriority w:val="99"/>
    <w:rsid w:val="00A002A3"/>
    <w:pPr>
      <w:numPr>
        <w:numId w:val="15"/>
      </w:numPr>
    </w:pPr>
  </w:style>
  <w:style w:type="numbering" w:customStyle="1" w:styleId="Estilo6">
    <w:name w:val="Estilo6"/>
    <w:uiPriority w:val="99"/>
    <w:rsid w:val="00A002A3"/>
    <w:pPr>
      <w:numPr>
        <w:numId w:val="16"/>
      </w:numPr>
    </w:pPr>
  </w:style>
  <w:style w:type="numbering" w:customStyle="1" w:styleId="Estilo9">
    <w:name w:val="Estilo9"/>
    <w:uiPriority w:val="99"/>
    <w:rsid w:val="00A002A3"/>
    <w:pPr>
      <w:numPr>
        <w:numId w:val="17"/>
      </w:numPr>
    </w:pPr>
  </w:style>
  <w:style w:type="numbering" w:customStyle="1" w:styleId="Estilo10">
    <w:name w:val="Estilo10"/>
    <w:uiPriority w:val="99"/>
    <w:rsid w:val="00A002A3"/>
    <w:pPr>
      <w:numPr>
        <w:numId w:val="18"/>
      </w:numPr>
    </w:pPr>
  </w:style>
  <w:style w:type="table" w:customStyle="1" w:styleId="Tablaconcuadrcula2">
    <w:name w:val="Tabla con cuadrícula2"/>
    <w:basedOn w:val="Tablanormal"/>
    <w:next w:val="Tablaconcuadrcula"/>
    <w:uiPriority w:val="59"/>
    <w:rsid w:val="00A002A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002A3"/>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A002A3"/>
    <w:pPr>
      <w:spacing w:before="100" w:beforeAutospacing="1" w:after="100" w:afterAutospacing="1"/>
    </w:pPr>
    <w:rPr>
      <w:rFonts w:ascii="Times New Roman" w:eastAsia="Times New Roman" w:hAnsi="Times New Roman" w:cs="Times New Roman"/>
      <w:lang w:val="es-MX" w:eastAsia="es-MX"/>
    </w:rPr>
  </w:style>
  <w:style w:type="paragraph" w:customStyle="1" w:styleId="xl63">
    <w:name w:val="xl63"/>
    <w:basedOn w:val="Normal"/>
    <w:rsid w:val="00A002A3"/>
    <w:pPr>
      <w:spacing w:before="100" w:beforeAutospacing="1" w:after="100" w:afterAutospacing="1"/>
      <w:jc w:val="both"/>
      <w:textAlignment w:val="center"/>
    </w:pPr>
    <w:rPr>
      <w:rFonts w:ascii="Montserrat" w:eastAsia="Times New Roman" w:hAnsi="Montserrat" w:cs="Times New Roman"/>
      <w:sz w:val="20"/>
      <w:szCs w:val="20"/>
      <w:lang w:val="es-MX" w:eastAsia="es-MX"/>
    </w:rPr>
  </w:style>
  <w:style w:type="paragraph" w:customStyle="1" w:styleId="xl64">
    <w:name w:val="xl64"/>
    <w:basedOn w:val="Normal"/>
    <w:rsid w:val="00A002A3"/>
    <w:pPr>
      <w:spacing w:before="100" w:beforeAutospacing="1" w:after="100" w:afterAutospacing="1"/>
    </w:pPr>
    <w:rPr>
      <w:rFonts w:ascii="Montserrat" w:eastAsia="Times New Roman" w:hAnsi="Montserrat" w:cs="Times New Roman"/>
      <w:sz w:val="20"/>
      <w:szCs w:val="20"/>
      <w:lang w:val="es-MX" w:eastAsia="es-MX"/>
    </w:rPr>
  </w:style>
  <w:style w:type="paragraph" w:customStyle="1" w:styleId="xl65">
    <w:name w:val="xl65"/>
    <w:basedOn w:val="Normal"/>
    <w:rsid w:val="00A002A3"/>
    <w:pPr>
      <w:spacing w:before="100" w:beforeAutospacing="1" w:after="100" w:afterAutospacing="1"/>
      <w:jc w:val="center"/>
      <w:textAlignment w:val="center"/>
    </w:pPr>
    <w:rPr>
      <w:rFonts w:ascii="Montserrat" w:eastAsia="Times New Roman" w:hAnsi="Montserrat" w:cs="Times New Roman"/>
      <w:sz w:val="20"/>
      <w:szCs w:val="20"/>
      <w:lang w:val="es-MX" w:eastAsia="es-MX"/>
    </w:rPr>
  </w:style>
  <w:style w:type="paragraph" w:customStyle="1" w:styleId="xl66">
    <w:name w:val="xl66"/>
    <w:basedOn w:val="Normal"/>
    <w:rsid w:val="00A002A3"/>
    <w:pPr>
      <w:shd w:val="clear" w:color="000000" w:fill="548235"/>
      <w:spacing w:before="100" w:beforeAutospacing="1" w:after="100" w:afterAutospacing="1"/>
    </w:pPr>
    <w:rPr>
      <w:rFonts w:ascii="Montserrat" w:eastAsia="Times New Roman" w:hAnsi="Montserrat" w:cs="Times New Roman"/>
      <w:sz w:val="20"/>
      <w:szCs w:val="20"/>
      <w:lang w:val="es-MX" w:eastAsia="es-MX"/>
    </w:rPr>
  </w:style>
  <w:style w:type="paragraph" w:customStyle="1" w:styleId="xl67">
    <w:name w:val="xl67"/>
    <w:basedOn w:val="Normal"/>
    <w:rsid w:val="00A002A3"/>
    <w:pPr>
      <w:spacing w:before="100" w:beforeAutospacing="1" w:after="100" w:afterAutospacing="1"/>
      <w:jc w:val="center"/>
    </w:pPr>
    <w:rPr>
      <w:rFonts w:ascii="Montserrat" w:eastAsia="Times New Roman" w:hAnsi="Montserrat" w:cs="Times New Roman"/>
      <w:sz w:val="20"/>
      <w:szCs w:val="20"/>
      <w:lang w:val="es-MX" w:eastAsia="es-MX"/>
    </w:rPr>
  </w:style>
  <w:style w:type="paragraph" w:customStyle="1" w:styleId="xl68">
    <w:name w:val="xl68"/>
    <w:basedOn w:val="Normal"/>
    <w:rsid w:val="00A002A3"/>
    <w:pPr>
      <w:spacing w:before="100" w:beforeAutospacing="1" w:after="100" w:afterAutospacing="1"/>
      <w:jc w:val="center"/>
      <w:textAlignment w:val="center"/>
    </w:pPr>
    <w:rPr>
      <w:rFonts w:ascii="Montserrat" w:eastAsia="Times New Roman" w:hAnsi="Montserrat" w:cs="Times New Roman"/>
      <w:b/>
      <w:bCs/>
      <w:sz w:val="20"/>
      <w:szCs w:val="20"/>
      <w:lang w:val="es-MX" w:eastAsia="es-MX"/>
    </w:rPr>
  </w:style>
  <w:style w:type="paragraph" w:customStyle="1" w:styleId="wordsection1">
    <w:name w:val="wordsection1"/>
    <w:basedOn w:val="Normal"/>
    <w:uiPriority w:val="99"/>
    <w:rsid w:val="00A002A3"/>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E540342-CFEB-42DB-990B-E6CA5818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C05317-3ABF-4124-8746-8ABC6C112207}">
  <ds:schemaRefs>
    <ds:schemaRef ds:uri="http://schemas.microsoft.com/sharepoint/v3/contenttype/forms"/>
  </ds:schemaRefs>
</ds:datastoreItem>
</file>

<file path=customXml/itemProps3.xml><?xml version="1.0" encoding="utf-8"?>
<ds:datastoreItem xmlns:ds="http://schemas.openxmlformats.org/officeDocument/2006/customXml" ds:itemID="{969C472C-414E-41C2-A0EF-0A62F4E795D4}">
  <ds:schemaRefs>
    <ds:schemaRef ds:uri="http://schemas.openxmlformats.org/officeDocument/2006/bibliography"/>
  </ds:schemaRefs>
</ds:datastoreItem>
</file>

<file path=customXml/itemProps4.xml><?xml version="1.0" encoding="utf-8"?>
<ds:datastoreItem xmlns:ds="http://schemas.openxmlformats.org/officeDocument/2006/customXml" ds:itemID="{369ABE50-9F00-44D6-80BE-F4AF58E2BCC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5900</Words>
  <Characters>32450</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Jana Lorena Rubio Vazquez</cp:lastModifiedBy>
  <cp:revision>2</cp:revision>
  <cp:lastPrinted>2024-12-13T00:27:00Z</cp:lastPrinted>
  <dcterms:created xsi:type="dcterms:W3CDTF">2024-12-13T00:28:00Z</dcterms:created>
  <dcterms:modified xsi:type="dcterms:W3CDTF">2024-12-13T00:28:00Z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